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F094F" w14:textId="055DB195" w:rsidR="004B6C20" w:rsidRPr="002342F1" w:rsidRDefault="004B6C20" w:rsidP="002342F1">
      <w:pPr>
        <w:pStyle w:val="BodyText"/>
        <w:jc w:val="right"/>
        <w:rPr>
          <w:color w:val="000000"/>
        </w:rPr>
      </w:pPr>
      <w:r>
        <w:rPr>
          <w:color w:val="000000"/>
          <w:lang w:val="lv-LV"/>
        </w:rPr>
        <w:t>1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pielikums </w:t>
      </w:r>
    </w:p>
    <w:p w14:paraId="6C11CD77" w14:textId="77777777" w:rsidR="004B6C20" w:rsidRPr="00F94F34" w:rsidRDefault="004B6C20" w:rsidP="004B6C20">
      <w:pPr>
        <w:pStyle w:val="BodyText"/>
        <w:jc w:val="right"/>
        <w:rPr>
          <w:color w:val="000000"/>
          <w:szCs w:val="24"/>
          <w:lang w:val="lv-LV"/>
        </w:rPr>
      </w:pPr>
      <w:r w:rsidRPr="002342F1">
        <w:rPr>
          <w:color w:val="000000"/>
          <w:lang w:val="lv-LV"/>
        </w:rPr>
        <w:t xml:space="preserve">Ārlietu ministrijas </w:t>
      </w:r>
    </w:p>
    <w:p w14:paraId="02043A22" w14:textId="287D1D3C" w:rsidR="004B6C20" w:rsidRPr="0077352B" w:rsidRDefault="004B6C20" w:rsidP="002342F1">
      <w:pPr>
        <w:pStyle w:val="BodyText"/>
        <w:jc w:val="right"/>
        <w:rPr>
          <w:color w:val="000000"/>
          <w:lang w:val="lv-LV"/>
        </w:rPr>
      </w:pPr>
      <w:r w:rsidRPr="002342F1">
        <w:rPr>
          <w:color w:val="000000"/>
          <w:lang w:val="lv-LV"/>
        </w:rPr>
        <w:t>2022.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gada </w:t>
      </w:r>
      <w:r w:rsidR="0077352B">
        <w:rPr>
          <w:color w:val="000000"/>
          <w:szCs w:val="24"/>
          <w:lang w:val="lv-LV"/>
        </w:rPr>
        <w:t>21. oktobra</w:t>
      </w:r>
    </w:p>
    <w:p w14:paraId="6DF85B7C" w14:textId="432FAF21" w:rsidR="004B6C20" w:rsidRPr="002342F1" w:rsidRDefault="004B6C20" w:rsidP="004627F7">
      <w:pPr>
        <w:pStyle w:val="BodyText"/>
        <w:jc w:val="right"/>
        <w:rPr>
          <w:color w:val="000000"/>
          <w:szCs w:val="24"/>
          <w:lang w:val="lv-LV"/>
        </w:rPr>
      </w:pPr>
      <w:r w:rsidRPr="00F94F34">
        <w:rPr>
          <w:color w:val="000000"/>
          <w:szCs w:val="24"/>
          <w:lang w:val="lv-LV"/>
        </w:rPr>
        <w:t>grantu projektu konkursa nolikumam</w:t>
      </w:r>
    </w:p>
    <w:p w14:paraId="122A78B1" w14:textId="03433464" w:rsidR="000720B6" w:rsidRPr="00045F2A" w:rsidRDefault="000720B6" w:rsidP="000720B6">
      <w:pPr>
        <w:pStyle w:val="BodyText"/>
        <w:jc w:val="right"/>
        <w:rPr>
          <w:b/>
          <w:bCs/>
          <w:color w:val="000000"/>
          <w:szCs w:val="24"/>
          <w:lang w:val="lv-LV"/>
        </w:rPr>
      </w:pPr>
      <w:bookmarkStart w:id="0" w:name="_GoBack"/>
      <w:bookmarkEnd w:id="0"/>
    </w:p>
    <w:p w14:paraId="627F9D12" w14:textId="77777777" w:rsidR="00392FD8" w:rsidRPr="00045F2A" w:rsidRDefault="00392FD8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</w:p>
    <w:p w14:paraId="54B9A663" w14:textId="77777777" w:rsidR="002525EA" w:rsidRPr="00045F2A" w:rsidRDefault="002525EA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  <w:r w:rsidRPr="00045F2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>Attiecināmo izmaksu klasifikācija</w:t>
      </w:r>
    </w:p>
    <w:p w14:paraId="7130FE8D" w14:textId="77777777" w:rsidR="0008174C" w:rsidRPr="00045F2A" w:rsidRDefault="0008174C" w:rsidP="002525EA">
      <w:pPr>
        <w:spacing w:after="0" w:line="36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1" w:name="p-479041"/>
      <w:bookmarkStart w:id="2" w:name="p1"/>
      <w:bookmarkEnd w:id="1"/>
      <w:bookmarkEnd w:id="2"/>
    </w:p>
    <w:p w14:paraId="7FA25836" w14:textId="343AABF7" w:rsidR="002525EA" w:rsidRPr="00045F2A" w:rsidRDefault="004627F7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ttiecināmās izmaksas var plānot divās izmaksu kategorijās:</w:t>
      </w:r>
    </w:p>
    <w:p w14:paraId="121F0C87" w14:textId="084C7289" w:rsidR="002525EA" w:rsidRPr="00045F2A" w:rsidRDefault="002342F1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īstenošanas izmaksas;</w:t>
      </w:r>
    </w:p>
    <w:p w14:paraId="4C3042BA" w14:textId="5E572163" w:rsidR="002525EA" w:rsidRPr="00045F2A" w:rsidRDefault="002342F1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administrēšanas izmaksas.</w:t>
      </w:r>
    </w:p>
    <w:p w14:paraId="727CAF6F" w14:textId="58981D36" w:rsidR="002525EA" w:rsidRPr="00045F2A" w:rsidRDefault="002342F1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 īstenošanas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34633BAC" w14:textId="175E5803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tlīdzība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ekspertam par īstenošanu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1"/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DF5032F" w14:textId="7103E069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dienas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naudas un viesnīc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as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82DA8">
        <w:rPr>
          <w:rFonts w:ascii="Times New Roman" w:eastAsia="Times New Roman" w:hAnsi="Times New Roman"/>
          <w:sz w:val="24"/>
          <w:szCs w:val="24"/>
          <w:lang w:eastAsia="lv-LV"/>
        </w:rPr>
        <w:t>naktsmītnes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82DA8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izdevumi ekspertiem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2"/>
      </w:r>
    </w:p>
    <w:p w14:paraId="4CEBD9C1" w14:textId="1EF6CAC7" w:rsidR="002525EA" w:rsidRPr="002342F1" w:rsidRDefault="00B620A7" w:rsidP="002342F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apdrošināšana.</w:t>
      </w:r>
      <w:r w:rsidR="00C467E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3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apdrošināšanu var paredzēt</w:t>
      </w:r>
      <w:r w:rsidR="00BC1F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ekspertam uz laiku, kad viņš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 xml:space="preserve"> ietvaros uzturas ārvalstī;</w:t>
      </w:r>
    </w:p>
    <w:p w14:paraId="7D2FC1FF" w14:textId="618A055A" w:rsidR="002525EA" w:rsidRPr="00045F2A" w:rsidRDefault="00782DA8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ceļa (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transporta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) izdevumi</w:t>
      </w:r>
      <w:r w:rsidR="00980AD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4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2C325E55" w14:textId="3DE39339" w:rsidR="002525EA" w:rsidRPr="00045F2A" w:rsidRDefault="00F16BEA" w:rsidP="00F16BEA">
      <w:pPr>
        <w:pStyle w:val="ListParagraph"/>
        <w:numPr>
          <w:ilvl w:val="2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dzelzceļa transportu, gaisa transportu, ūdenstransportu, starpvalstu koplietošanas autotransportu (autobusu)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biļetes drīkst iegādāties tikai ekonomiskajā klasē;</w:t>
      </w:r>
    </w:p>
    <w:p w14:paraId="4FA79E15" w14:textId="69DC2BC8" w:rsidR="00F16BEA" w:rsidRDefault="002525EA" w:rsidP="00F45ED0">
      <w:pPr>
        <w:pStyle w:val="ListParagraph"/>
        <w:numPr>
          <w:ilvl w:val="2"/>
          <w:numId w:val="3"/>
        </w:numPr>
        <w:spacing w:after="0" w:line="36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izdevumus par taksometra izmantošanu drīkst plānot tikai par braukšanu līdz lidostai, dzelzceļa stacijai, autoostai, kuģu piestātnei un no tām (arī no dzīvesvietas un atpakaļ);</w:t>
      </w:r>
    </w:p>
    <w:p w14:paraId="23599EC0" w14:textId="75C636FE" w:rsidR="002525EA" w:rsidRDefault="00F16BEA" w:rsidP="00AA5A2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saistīti ar vīzu kārtošanu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038A52F" w14:textId="2D243F75" w:rsidR="00EA049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maksājumi bankai par jaunu kontu atvēršanu un komisijas maksas;</w:t>
      </w:r>
    </w:p>
    <w:p w14:paraId="62A3250C" w14:textId="2CCE5085" w:rsidR="00EA049A" w:rsidRPr="00045F2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COVID-19 medicīniskie izmeklējumi, kas saistīti ar spēkā esošajiem epidemioloģiskās drošības pasākumiem </w:t>
      </w:r>
      <w:proofErr w:type="spellStart"/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Covid-19</w:t>
      </w:r>
      <w:proofErr w:type="spellEnd"/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infekcijas izplatības ierobežošanai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60DDCD6" w14:textId="11F16783" w:rsidR="002525EA" w:rsidRPr="00045F2A" w:rsidRDefault="002525EA" w:rsidP="00F45ED0">
      <w:pPr>
        <w:pStyle w:val="ListParagraph"/>
        <w:numPr>
          <w:ilvl w:val="1"/>
          <w:numId w:val="3"/>
        </w:numPr>
        <w:spacing w:after="0" w:line="360" w:lineRule="auto"/>
        <w:ind w:left="993" w:hanging="63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reprezentācijas izdevumi;</w:t>
      </w:r>
    </w:p>
    <w:p w14:paraId="03280DB4" w14:textId="7CCDE538" w:rsidR="002525EA" w:rsidRPr="00045F2A" w:rsidRDefault="00303A82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dministrēšanas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1E37BEA8" w14:textId="773CE744" w:rsidR="002525EA" w:rsidRPr="005579DB" w:rsidRDefault="002525EA" w:rsidP="005579DB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at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administratīvajam personālam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(gr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āmatvedim v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i citam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A049A" w:rsidRPr="00C22EB8">
        <w:rPr>
          <w:rFonts w:ascii="Times New Roman" w:eastAsia="Times New Roman" w:hAnsi="Times New Roman"/>
          <w:sz w:val="24"/>
          <w:szCs w:val="24"/>
          <w:lang w:eastAsia="lv-LV"/>
        </w:rPr>
        <w:t>administrēšanā iesaistītajam personālam</w:t>
      </w:r>
      <w:r w:rsidR="005579DB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EA049A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27F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5"/>
      </w:r>
    </w:p>
    <w:p w14:paraId="47C77144" w14:textId="560DA80C" w:rsidR="00F16BEA" w:rsidRPr="006E3BCC" w:rsidRDefault="00303A82" w:rsidP="00C22E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A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dministrēšan</w:t>
      </w:r>
      <w:r w:rsidR="005953F0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0% no kopējā pr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līguma slēgšanas brīdī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īstenošanas laikā tiek samazināts </w:t>
      </w:r>
      <w:r w:rsidR="00F22CB1">
        <w:rPr>
          <w:rFonts w:ascii="Times New Roman" w:eastAsia="Times New Roman" w:hAnsi="Times New Roman"/>
          <w:sz w:val="24"/>
          <w:szCs w:val="24"/>
          <w:lang w:eastAsia="lv-LV"/>
        </w:rPr>
        <w:t xml:space="preserve">izlietotā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finansējuma apmērs, administrēšanas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0% no kopējā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 aktivitāšu īstenošanas perioda beigās.</w:t>
      </w:r>
    </w:p>
    <w:sectPr w:rsidR="00F16BEA" w:rsidRPr="006E3BCC" w:rsidSect="0079758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97946B" w16cid:durableId="26E87064"/>
  <w16cid:commentId w16cid:paraId="59F814F3" w16cid:durableId="26E871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4964" w14:textId="77777777" w:rsidR="001C3910" w:rsidRDefault="001C3910" w:rsidP="00392FD8">
      <w:pPr>
        <w:spacing w:after="0" w:line="240" w:lineRule="auto"/>
      </w:pPr>
      <w:r>
        <w:separator/>
      </w:r>
    </w:p>
  </w:endnote>
  <w:endnote w:type="continuationSeparator" w:id="0">
    <w:p w14:paraId="66BE1F98" w14:textId="77777777" w:rsidR="001C3910" w:rsidRDefault="001C3910" w:rsidP="003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A1A0" w14:textId="41731F44" w:rsidR="00392FD8" w:rsidRPr="00797580" w:rsidRDefault="00392FD8" w:rsidP="00797580">
    <w:pPr>
      <w:pStyle w:val="Foot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97580">
      <w:rPr>
        <w:rFonts w:ascii="Times New Roman" w:hAnsi="Times New Roman"/>
        <w:sz w:val="24"/>
        <w:szCs w:val="24"/>
      </w:rPr>
      <w:fldChar w:fldCharType="begin"/>
    </w:r>
    <w:r w:rsidRPr="00797580">
      <w:rPr>
        <w:rFonts w:ascii="Times New Roman" w:hAnsi="Times New Roman"/>
        <w:sz w:val="24"/>
        <w:szCs w:val="24"/>
      </w:rPr>
      <w:instrText xml:space="preserve"> PAGE   \* MERGEFORMAT </w:instrText>
    </w:r>
    <w:r w:rsidRPr="00797580">
      <w:rPr>
        <w:rFonts w:ascii="Times New Roman" w:hAnsi="Times New Roman"/>
        <w:sz w:val="24"/>
        <w:szCs w:val="24"/>
      </w:rPr>
      <w:fldChar w:fldCharType="separate"/>
    </w:r>
    <w:r w:rsidR="0077352B">
      <w:rPr>
        <w:rFonts w:ascii="Times New Roman" w:hAnsi="Times New Roman"/>
        <w:noProof/>
        <w:sz w:val="24"/>
        <w:szCs w:val="24"/>
      </w:rPr>
      <w:t>1</w:t>
    </w:r>
    <w:r w:rsidRPr="0079758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368F" w14:textId="77777777" w:rsidR="001C3910" w:rsidRDefault="001C3910" w:rsidP="00392FD8">
      <w:pPr>
        <w:spacing w:after="0" w:line="240" w:lineRule="auto"/>
      </w:pPr>
      <w:r>
        <w:separator/>
      </w:r>
    </w:p>
  </w:footnote>
  <w:footnote w:type="continuationSeparator" w:id="0">
    <w:p w14:paraId="3F02F31B" w14:textId="77777777" w:rsidR="001C3910" w:rsidRDefault="001C3910" w:rsidP="00392FD8">
      <w:pPr>
        <w:spacing w:after="0" w:line="240" w:lineRule="auto"/>
      </w:pPr>
      <w:r>
        <w:continuationSeparator/>
      </w:r>
    </w:p>
  </w:footnote>
  <w:footnote w:id="1">
    <w:p w14:paraId="575165D5" w14:textId="291AB39E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27. jūlija noteikumi Nr. 672 "Noteikumi par attīstības sadarbības projekta īstenošanā iesaistītās personas maksimālo atlīdzību, dienas naudu un viesnīcas (naktsmītnes) izdevumu apmēru"</w:t>
      </w:r>
    </w:p>
  </w:footnote>
  <w:footnote w:id="2">
    <w:p w14:paraId="5180A6B4" w14:textId="1E319E87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 “Kārtība, kādā atlīdzināmi ar komandējumiem saistītie izdevumi” un Ministru kabineta 2010. gada 27. jūlija noteikumi Nr. 672.</w:t>
      </w:r>
    </w:p>
  </w:footnote>
  <w:footnote w:id="3">
    <w:p w14:paraId="7840526E" w14:textId="12AEFDF7" w:rsidR="00C467E8" w:rsidRDefault="00C467E8" w:rsidP="00C22EB8">
      <w:pPr>
        <w:pStyle w:val="FootnoteText"/>
        <w:spacing w:after="0"/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</w:t>
      </w:r>
    </w:p>
  </w:footnote>
  <w:footnote w:id="4">
    <w:p w14:paraId="6783A502" w14:textId="5AC909BA" w:rsidR="00980AD8" w:rsidRDefault="00980AD8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5">
    <w:p w14:paraId="543A0F17" w14:textId="5D58965A" w:rsidR="004627F7" w:rsidRDefault="004627F7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7075BC">
        <w:rPr>
          <w:rFonts w:ascii="Times New Roman" w:hAnsi="Times New Roman"/>
        </w:rPr>
        <w:t>At</w:t>
      </w:r>
      <w:r>
        <w:rPr>
          <w:rFonts w:ascii="Times New Roman" w:hAnsi="Times New Roman"/>
        </w:rPr>
        <w:t>līdzību</w:t>
      </w:r>
      <w:r w:rsidRPr="007075BC">
        <w:rPr>
          <w:rFonts w:ascii="Times New Roman" w:hAnsi="Times New Roman"/>
        </w:rPr>
        <w:t xml:space="preserve"> projekta administratīvajam personālam aprēķina saskaņā ar Ministru kabineta 2010. gada 27. jūlija noteikumiem Nr. 672.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24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2D23"/>
    <w:multiLevelType w:val="hybridMultilevel"/>
    <w:tmpl w:val="B23061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0C95"/>
    <w:multiLevelType w:val="hybridMultilevel"/>
    <w:tmpl w:val="ACEA0FE6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pStyle w:val="NumPar2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965C1A"/>
    <w:multiLevelType w:val="multilevel"/>
    <w:tmpl w:val="2246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EA"/>
    <w:rsid w:val="00045F2A"/>
    <w:rsid w:val="00047736"/>
    <w:rsid w:val="00066A96"/>
    <w:rsid w:val="000720B6"/>
    <w:rsid w:val="0007599C"/>
    <w:rsid w:val="0008174C"/>
    <w:rsid w:val="000943E1"/>
    <w:rsid w:val="000B198B"/>
    <w:rsid w:val="000B2528"/>
    <w:rsid w:val="000F35E0"/>
    <w:rsid w:val="0010581C"/>
    <w:rsid w:val="00111311"/>
    <w:rsid w:val="0011165E"/>
    <w:rsid w:val="00120AD7"/>
    <w:rsid w:val="00124B9B"/>
    <w:rsid w:val="001823DF"/>
    <w:rsid w:val="00194F65"/>
    <w:rsid w:val="001A6577"/>
    <w:rsid w:val="001C3910"/>
    <w:rsid w:val="001E5496"/>
    <w:rsid w:val="002342F1"/>
    <w:rsid w:val="002347AE"/>
    <w:rsid w:val="0023720C"/>
    <w:rsid w:val="002525EA"/>
    <w:rsid w:val="00264708"/>
    <w:rsid w:val="002B56EC"/>
    <w:rsid w:val="00301C72"/>
    <w:rsid w:val="00302145"/>
    <w:rsid w:val="00303A82"/>
    <w:rsid w:val="003065DF"/>
    <w:rsid w:val="00312594"/>
    <w:rsid w:val="003220CA"/>
    <w:rsid w:val="003337B2"/>
    <w:rsid w:val="00334EA6"/>
    <w:rsid w:val="00346567"/>
    <w:rsid w:val="00357FB9"/>
    <w:rsid w:val="00391969"/>
    <w:rsid w:val="00392FD8"/>
    <w:rsid w:val="003A002E"/>
    <w:rsid w:val="003D291E"/>
    <w:rsid w:val="00401F39"/>
    <w:rsid w:val="0043203D"/>
    <w:rsid w:val="004627F7"/>
    <w:rsid w:val="004649F1"/>
    <w:rsid w:val="00481060"/>
    <w:rsid w:val="004A1033"/>
    <w:rsid w:val="004B6C20"/>
    <w:rsid w:val="0050500B"/>
    <w:rsid w:val="005579DB"/>
    <w:rsid w:val="00564F02"/>
    <w:rsid w:val="00581AD1"/>
    <w:rsid w:val="005953F0"/>
    <w:rsid w:val="005C4FBC"/>
    <w:rsid w:val="005D1044"/>
    <w:rsid w:val="005D1F19"/>
    <w:rsid w:val="005F146E"/>
    <w:rsid w:val="00610AE4"/>
    <w:rsid w:val="00617BB1"/>
    <w:rsid w:val="00640434"/>
    <w:rsid w:val="006640C9"/>
    <w:rsid w:val="006A37A8"/>
    <w:rsid w:val="006A3FF9"/>
    <w:rsid w:val="006E3BCC"/>
    <w:rsid w:val="00723BF1"/>
    <w:rsid w:val="00733A85"/>
    <w:rsid w:val="00734516"/>
    <w:rsid w:val="007531D2"/>
    <w:rsid w:val="00753C23"/>
    <w:rsid w:val="00760E41"/>
    <w:rsid w:val="0077352B"/>
    <w:rsid w:val="00782DA8"/>
    <w:rsid w:val="00797580"/>
    <w:rsid w:val="007B2F7E"/>
    <w:rsid w:val="007C2910"/>
    <w:rsid w:val="007D0497"/>
    <w:rsid w:val="007D6EFF"/>
    <w:rsid w:val="008058F4"/>
    <w:rsid w:val="008061A7"/>
    <w:rsid w:val="00840F99"/>
    <w:rsid w:val="0085249D"/>
    <w:rsid w:val="00853C87"/>
    <w:rsid w:val="00897497"/>
    <w:rsid w:val="008B07F3"/>
    <w:rsid w:val="008C2ADD"/>
    <w:rsid w:val="008E0D3D"/>
    <w:rsid w:val="009021CB"/>
    <w:rsid w:val="00916376"/>
    <w:rsid w:val="009240F4"/>
    <w:rsid w:val="00926C0A"/>
    <w:rsid w:val="00950073"/>
    <w:rsid w:val="00953DB0"/>
    <w:rsid w:val="00980AD8"/>
    <w:rsid w:val="00981C93"/>
    <w:rsid w:val="009A0571"/>
    <w:rsid w:val="009C617E"/>
    <w:rsid w:val="009C7198"/>
    <w:rsid w:val="009D0077"/>
    <w:rsid w:val="009D447A"/>
    <w:rsid w:val="00A1619C"/>
    <w:rsid w:val="00A25141"/>
    <w:rsid w:val="00A33AFB"/>
    <w:rsid w:val="00A71E4B"/>
    <w:rsid w:val="00AA5A20"/>
    <w:rsid w:val="00AD00E3"/>
    <w:rsid w:val="00B34921"/>
    <w:rsid w:val="00B56D27"/>
    <w:rsid w:val="00B620A7"/>
    <w:rsid w:val="00B709C8"/>
    <w:rsid w:val="00B73BE2"/>
    <w:rsid w:val="00BA48E6"/>
    <w:rsid w:val="00BC1F96"/>
    <w:rsid w:val="00BD5140"/>
    <w:rsid w:val="00C00600"/>
    <w:rsid w:val="00C22EB8"/>
    <w:rsid w:val="00C31637"/>
    <w:rsid w:val="00C467E8"/>
    <w:rsid w:val="00C774F7"/>
    <w:rsid w:val="00C8529C"/>
    <w:rsid w:val="00C95F1C"/>
    <w:rsid w:val="00CB07BA"/>
    <w:rsid w:val="00CB1B61"/>
    <w:rsid w:val="00CD3D0C"/>
    <w:rsid w:val="00D13EAF"/>
    <w:rsid w:val="00D17F70"/>
    <w:rsid w:val="00D3143C"/>
    <w:rsid w:val="00D37757"/>
    <w:rsid w:val="00D532F4"/>
    <w:rsid w:val="00D65AB6"/>
    <w:rsid w:val="00D66195"/>
    <w:rsid w:val="00D66A72"/>
    <w:rsid w:val="00D77858"/>
    <w:rsid w:val="00D8444B"/>
    <w:rsid w:val="00D86412"/>
    <w:rsid w:val="00D95A8E"/>
    <w:rsid w:val="00DB7022"/>
    <w:rsid w:val="00E0230F"/>
    <w:rsid w:val="00E07377"/>
    <w:rsid w:val="00E65D78"/>
    <w:rsid w:val="00E72E2A"/>
    <w:rsid w:val="00EA049A"/>
    <w:rsid w:val="00EC0BCC"/>
    <w:rsid w:val="00ED35B6"/>
    <w:rsid w:val="00EE0783"/>
    <w:rsid w:val="00F1357C"/>
    <w:rsid w:val="00F16BEA"/>
    <w:rsid w:val="00F22CB1"/>
    <w:rsid w:val="00F45ED0"/>
    <w:rsid w:val="00F652D1"/>
    <w:rsid w:val="00F82861"/>
    <w:rsid w:val="00F87A14"/>
    <w:rsid w:val="00FC5CA3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24C7"/>
  <w15:chartTrackingRefBased/>
  <w15:docId w15:val="{BEFBA10A-E628-4DD9-B6B9-14D2E06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D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F7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F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2F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2FD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6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5A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AB6"/>
    <w:rPr>
      <w:b/>
      <w:bCs/>
      <w:lang w:eastAsia="en-US"/>
    </w:rPr>
  </w:style>
  <w:style w:type="paragraph" w:customStyle="1" w:styleId="Default">
    <w:name w:val="Default"/>
    <w:rsid w:val="00610A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58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7580"/>
    <w:rPr>
      <w:lang w:eastAsia="en-US"/>
    </w:rPr>
  </w:style>
  <w:style w:type="character" w:styleId="FootnoteReference">
    <w:name w:val="footnote reference"/>
    <w:uiPriority w:val="99"/>
    <w:semiHidden/>
    <w:unhideWhenUsed/>
    <w:rsid w:val="00797580"/>
    <w:rPr>
      <w:vertAlign w:val="superscript"/>
    </w:rPr>
  </w:style>
  <w:style w:type="paragraph" w:styleId="BodyText">
    <w:name w:val="Body Text"/>
    <w:basedOn w:val="Normal"/>
    <w:link w:val="BodyTextChar"/>
    <w:rsid w:val="00F652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BodyTextChar">
    <w:name w:val="Body Text Char"/>
    <w:link w:val="BodyText"/>
    <w:rsid w:val="00F652D1"/>
    <w:rPr>
      <w:rFonts w:ascii="Times New Roman" w:eastAsia="Times New Roman" w:hAnsi="Times New Roman"/>
      <w:snapToGrid w:val="0"/>
      <w:sz w:val="24"/>
      <w:lang w:val="en-US" w:eastAsia="en-US"/>
    </w:rPr>
  </w:style>
  <w:style w:type="paragraph" w:customStyle="1" w:styleId="Text2">
    <w:name w:val="Text 2"/>
    <w:basedOn w:val="Normal"/>
    <w:rsid w:val="00F652D1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NumPar2">
    <w:name w:val="NumPar 2"/>
    <w:basedOn w:val="Heading2"/>
    <w:next w:val="Text2"/>
    <w:rsid w:val="00F652D1"/>
    <w:pPr>
      <w:keepNext w:val="0"/>
      <w:numPr>
        <w:ilvl w:val="1"/>
        <w:numId w:val="1"/>
      </w:numPr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hAnsi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customStyle="1" w:styleId="Heading2Char">
    <w:name w:val="Heading 2 Char"/>
    <w:link w:val="Heading2"/>
    <w:uiPriority w:val="9"/>
    <w:semiHidden/>
    <w:rsid w:val="00F652D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771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394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8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36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4651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F4BA-3A1A-48F8-B20C-3AFEBE90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https://likumi.lv/ta/id/214192-noteikumi-par-attistibas-sadarbibas-projekta-istenosana-iesaistitas-personas-maksimalo-atlidzibu-dienas-naudu-un-viesnicas-nakt...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Rubene</dc:creator>
  <cp:keywords/>
  <cp:lastModifiedBy>Pauls Gailitis</cp:lastModifiedBy>
  <cp:revision>30</cp:revision>
  <cp:lastPrinted>2022-02-03T08:20:00Z</cp:lastPrinted>
  <dcterms:created xsi:type="dcterms:W3CDTF">2022-07-06T12:40:00Z</dcterms:created>
  <dcterms:modified xsi:type="dcterms:W3CDTF">2022-10-24T06:40:00Z</dcterms:modified>
</cp:coreProperties>
</file>