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7E0193DF" w:rsidR="005C6DCE" w:rsidRPr="0080358B" w:rsidRDefault="00985B71"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985B71"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04BBFBF9" w:rsidR="006938F5" w:rsidRDefault="00985B71" w:rsidP="006718D3">
            <w:pPr>
              <w:spacing w:after="0"/>
              <w:jc w:val="left"/>
            </w:pPr>
            <w:r>
              <w:t>SANTE.D.1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2DD48212" w:rsidR="006938F5" w:rsidRDefault="00985B71" w:rsidP="006718D3">
            <w:pPr>
              <w:spacing w:after="0"/>
              <w:jc w:val="left"/>
            </w:pPr>
            <w:r>
              <w:t>292744</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179A7FBF" w:rsidR="4EEB584D" w:rsidRDefault="00985B71"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77810D85" w:rsidR="006938F5" w:rsidRDefault="00985B71"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24C8088D" w:rsidR="3C2D33B5" w:rsidRDefault="00985B71" w:rsidP="14270372">
            <w:pPr>
              <w:spacing w:after="0"/>
              <w:jc w:val="left"/>
            </w:pPr>
            <w:r>
              <w:t>Brussels</w:t>
            </w:r>
          </w:p>
          <w:p w14:paraId="6B7C1AA9" w14:textId="4805C3F1" w:rsidR="3C2D33B5" w:rsidRDefault="00985B71" w:rsidP="14270372">
            <w:pPr>
              <w:spacing w:after="0"/>
              <w:jc w:val="left"/>
            </w:pPr>
            <w:r>
              <w:t>Bruxelles</w:t>
            </w:r>
          </w:p>
          <w:p w14:paraId="5C918E8F" w14:textId="0BB91C3E" w:rsidR="3C2D33B5" w:rsidRDefault="00985B71"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06AE64DD" w:rsidR="006938F5" w:rsidRDefault="00985B71" w:rsidP="006718D3">
            <w:pPr>
              <w:spacing w:after="0"/>
              <w:jc w:val="left"/>
            </w:pPr>
            <w:r>
              <w:t>With allowances</w:t>
            </w:r>
          </w:p>
          <w:p w14:paraId="02E31856" w14:textId="7AE02FB7" w:rsidR="006938F5" w:rsidRDefault="00985B71" w:rsidP="006718D3">
            <w:pPr>
              <w:spacing w:after="0"/>
              <w:jc w:val="left"/>
            </w:pPr>
            <w:r>
              <w:t>Avec indemnités</w:t>
            </w:r>
          </w:p>
          <w:p w14:paraId="720FD450" w14:textId="074E260C" w:rsidR="006938F5" w:rsidRDefault="00985B71"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601FF7D5" w:rsidR="006938F5" w:rsidRDefault="00985B71" w:rsidP="006718D3">
            <w:pPr>
              <w:spacing w:after="0"/>
              <w:jc w:val="left"/>
            </w:pPr>
            <w:r>
              <w:t>Member States</w:t>
            </w:r>
          </w:p>
          <w:p w14:paraId="2A7DF233" w14:textId="6066E8E2" w:rsidR="006938F5" w:rsidRDefault="00985B71" w:rsidP="006718D3">
            <w:pPr>
              <w:spacing w:after="0"/>
              <w:jc w:val="left"/>
            </w:pPr>
            <w:r>
              <w:t>États membres</w:t>
            </w:r>
          </w:p>
          <w:p w14:paraId="13C75E2E" w14:textId="30D13F66" w:rsidR="006938F5" w:rsidRDefault="00985B71"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225C8156" w:rsidR="006938F5" w:rsidRDefault="00985B71" w:rsidP="006718D3">
            <w:pPr>
              <w:spacing w:after="0"/>
              <w:jc w:val="left"/>
            </w:pPr>
            <w:r>
              <w:t>26/10/2026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2275324D" w:rsidR="00A95A44" w:rsidRPr="00E61551" w:rsidRDefault="00985B71"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5AA9D977" w:rsidR="00A95A44" w:rsidRDefault="00985B71" w:rsidP="003C1977">
      <w:pPr>
        <w:spacing w:after="0"/>
      </w:pPr>
      <w:r>
        <w:t>The SNE will be posted in unit D.1. Unit SANTE D1 "Medicines: policy, authorisation and monitoring" manages major parts of the regulatory framework for medicinal products for human use. It led the reform of the EU pharmaceutical legislation and is responsible for major parts of its implementation. It is also responsible for the process of granting marketing authorisations to medicinal products for the entire EU. The unit regularly interacts with the European Medicines Agency.</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1E04D98B" w14:textId="77777777" w:rsidR="00985B71" w:rsidRDefault="00985B71" w:rsidP="003C1977">
      <w:pPr>
        <w:spacing w:after="0"/>
      </w:pPr>
      <w:r>
        <w:t>The Seconded National Expert will join the team at a pivotal stage in the evolution of EU pharmaceutical policy, characterised by rapid innovation, major scientific advances, and an evolving regulatory and geopolitical environment. Established frameworks for the authorisation of medicinal products are being transformed by emerging developments, including integrated therapies, personalised medicine, and the growing role of data, artificial intelligence, and algorithm-based technologies.</w:t>
      </w:r>
    </w:p>
    <w:p w14:paraId="1608389D" w14:textId="77777777" w:rsidR="00985B71" w:rsidRDefault="00985B71" w:rsidP="003C1977">
      <w:pPr>
        <w:spacing w:after="0"/>
      </w:pPr>
      <w:r>
        <w:t>In this context, the EU Pharmaceutical Reform sets out a comprehensive and forward-looking policy response aimed at ensuring that the Union’s pharmaceutical framework remains fit for purpose, resilient, and adaptable to future needs. Following the successful conclusion of negotiations and the forthcoming formal adoption of the New Pharmaceutical Legislation by the European Parliament and the Council, the focus is now shifting to the crucial implementation phase, with many implementation actions to be completed in the next two-three years – from the update of Annex II to electronic product information, from unmet medical need to access provisions.</w:t>
      </w:r>
    </w:p>
    <w:p w14:paraId="4FA38409" w14:textId="7E0D791F" w:rsidR="00A95A44" w:rsidRDefault="00985B71" w:rsidP="003C1977">
      <w:pPr>
        <w:spacing w:after="0"/>
      </w:pPr>
      <w:r>
        <w:t>This phase will be decisive in translating the innovative provisions of the new legislation into concrete results, with a view to promoting scientific excellence, strengthening the competitiveness of the pharmaceutical sector, and supporting sustainable and equitable access to medicines for patients across the European Union.</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92C6C54" w14:textId="77777777" w:rsidR="00985B71" w:rsidRDefault="00985B71" w:rsidP="00527473">
      <w:pPr>
        <w:spacing w:after="0"/>
        <w:jc w:val="left"/>
      </w:pPr>
      <w:r>
        <w:t>The tasks of the SNE include:</w:t>
      </w:r>
    </w:p>
    <w:p w14:paraId="49CF1C2F" w14:textId="77777777" w:rsidR="00985B71" w:rsidRDefault="00985B71" w:rsidP="00527473">
      <w:pPr>
        <w:spacing w:after="0"/>
        <w:jc w:val="left"/>
      </w:pPr>
      <w:r>
        <w:t>•</w:t>
      </w:r>
      <w:r>
        <w:tab/>
        <w:t>Provide expertise and support to the implementation of the new EU Pharmaceutical legislation, including cooperation with the European Medicines Agency, Member States and HMA.</w:t>
      </w:r>
    </w:p>
    <w:p w14:paraId="0F82F603" w14:textId="77777777" w:rsidR="00985B71" w:rsidRDefault="00985B71" w:rsidP="00527473">
      <w:pPr>
        <w:spacing w:after="0"/>
        <w:jc w:val="left"/>
      </w:pPr>
      <w:r>
        <w:t>•</w:t>
      </w:r>
      <w:r>
        <w:tab/>
        <w:t>Provide support to policy activities, including actions related to the new EU pharmaceutical legislation and preparatory work for implementing and delegated acts or relevant guidance documents.</w:t>
      </w:r>
    </w:p>
    <w:p w14:paraId="4A9C993C" w14:textId="77777777" w:rsidR="00985B71" w:rsidRDefault="00985B71" w:rsidP="00527473">
      <w:pPr>
        <w:spacing w:after="0"/>
        <w:jc w:val="left"/>
      </w:pPr>
      <w:r>
        <w:t>•</w:t>
      </w:r>
      <w:r>
        <w:tab/>
        <w:t>Support activities related to the authorisation of medicinal products at EU level.</w:t>
      </w:r>
    </w:p>
    <w:p w14:paraId="5CA92572" w14:textId="77777777" w:rsidR="00985B71" w:rsidRDefault="00985B71" w:rsidP="00527473">
      <w:pPr>
        <w:spacing w:after="0"/>
        <w:jc w:val="left"/>
      </w:pPr>
      <w:r>
        <w:t>•</w:t>
      </w:r>
      <w:r>
        <w:tab/>
        <w:t>Develop, draft and manage legislation and guidelines for pharmaceutical products</w:t>
      </w:r>
    </w:p>
    <w:p w14:paraId="242A7CCB" w14:textId="77777777" w:rsidR="00985B71" w:rsidRDefault="00985B71" w:rsidP="00527473">
      <w:pPr>
        <w:spacing w:after="0"/>
        <w:jc w:val="left"/>
      </w:pPr>
      <w:r>
        <w:t>•</w:t>
      </w:r>
      <w:r>
        <w:tab/>
        <w:t>Ensure effective implementation of European Union legislation</w:t>
      </w:r>
    </w:p>
    <w:p w14:paraId="0DE8C532" w14:textId="0D024347" w:rsidR="00A95A44" w:rsidRDefault="00985B71" w:rsidP="00527473">
      <w:pPr>
        <w:spacing w:after="0"/>
        <w:jc w:val="left"/>
      </w:pPr>
      <w:r>
        <w:t>•</w:t>
      </w:r>
      <w:r>
        <w:tab/>
        <w:t>Facilitate exchanges between Member States, the European Medicines Agency and develop best practices</w:t>
      </w:r>
    </w:p>
    <w:p w14:paraId="35E1D154" w14:textId="77777777" w:rsidR="00A95A44" w:rsidRDefault="00A95A44" w:rsidP="00A95A44">
      <w:pPr>
        <w:spacing w:after="0"/>
        <w:jc w:val="left"/>
      </w:pPr>
      <w:r>
        <w:lastRenderedPageBreak/>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713E3209" w:rsidR="0017274D" w:rsidRPr="008250D4" w:rsidRDefault="00985B71"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49CB94AE" w:rsidR="00A95A44" w:rsidRPr="00E61551" w:rsidRDefault="00985B71" w:rsidP="00527473">
      <w:pPr>
        <w:spacing w:after="0"/>
        <w:rPr>
          <w:lang w:val="de-DE"/>
        </w:rPr>
      </w:pPr>
      <w:r>
        <w:rPr>
          <w:lang w:val="de-DE"/>
        </w:rPr>
        <w:t>L’END sera affecté à l’unité D.1. L’unité SANTE D1 «Médicaments: politique, autorisation et surveillance» gère d’importants segments du cadre réglementaire relatif aux médicaments à usage humain. Elle a guidé la réforme de la législation pharmaceutique de l’UE et est responsable d’une part importante de sa mise en œuvre. Elle est également chargée de la procédure d’octroi des autorisations de mise sur le marché des médicaments pour l’ensemble de l’UE. L’unité est régulièrement en contact avec l’Agence européenne des médicaments.</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3FA5AC1D" w14:textId="77777777" w:rsidR="00985B71" w:rsidRDefault="00985B71" w:rsidP="00527473">
      <w:pPr>
        <w:spacing w:after="0"/>
        <w:jc w:val="left"/>
        <w:rPr>
          <w:lang w:val="de-DE"/>
        </w:rPr>
      </w:pPr>
      <w:r>
        <w:rPr>
          <w:lang w:val="de-DE"/>
        </w:rPr>
        <w:t>L’expert national détaché rejoindra l’équipe à un stade crucial de l’évolution de la politique pharmaceutique de l’UE, caractérisé par une innovation rapide, des progrès scientifiques majeures et un environnement réglementaire et géopolitique mouvant. Les cadres établis pour l’autorisation des médicaments sont en pleine mutation, modelés par l’apparition de nouveautés, dont les thérapies intégrées et la médecine personnalisée, et par le rôle croissant joué par les données, l’intelligence artificielle et les technologies algorithmiques.</w:t>
      </w:r>
    </w:p>
    <w:p w14:paraId="1363FE8B" w14:textId="77777777" w:rsidR="00985B71" w:rsidRDefault="00985B71" w:rsidP="00527473">
      <w:pPr>
        <w:spacing w:after="0"/>
        <w:jc w:val="left"/>
        <w:rPr>
          <w:lang w:val="de-DE"/>
        </w:rPr>
      </w:pPr>
      <w:r>
        <w:rPr>
          <w:lang w:val="de-DE"/>
        </w:rPr>
        <w:t>Dans ce contexte, la réforme pharmaceutique de l’UE constitue une réponse stratégique globale et tournée vers l’avenir visant à faire en sorte que le cadre pharmaceutique de l’Union reste adapté à sa finalité, résilient et adaptable aux besoins futurs. À la suite de la conclusion fructueuse des négociations et de l’adoption formelle prochaine de la nouvelle législation pharmaceutique par le Parlement européen et le Conseil, l’accent est désormais mis sur la phase cruciale de mise en œuvre, de nombreuses mesures d’exécution devant être mises en pratique dans les deux à trois prochaines années, dans des domaines allant de la mise à jour de l’annexe II aux informations électroniques sur les produits, des besoins médicaux non satisfaits aux dispositions relatives à l’accès.</w:t>
      </w:r>
    </w:p>
    <w:p w14:paraId="59404C02" w14:textId="7FEB2A2F" w:rsidR="00A95A44" w:rsidRPr="00E61551" w:rsidRDefault="00985B71" w:rsidP="00527473">
      <w:pPr>
        <w:spacing w:after="0"/>
        <w:jc w:val="left"/>
        <w:rPr>
          <w:lang w:val="de-DE"/>
        </w:rPr>
      </w:pPr>
      <w:r>
        <w:rPr>
          <w:lang w:val="de-DE"/>
        </w:rPr>
        <w:t>Cette phase sera décisive pour traduire les dispositions innovantes de la nouvelle législation en résultats concrets, dans le but de promouvoir l’excellence scientifique, de renforcer la compétitivité du secteur pharmaceutique, et de favoriser un accès durable et équitable aux médicaments pour les patients dans toute l’Union européenne.</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0BB2528" w14:textId="77777777" w:rsidR="00985B71" w:rsidRDefault="00985B71" w:rsidP="00527473">
      <w:pPr>
        <w:spacing w:after="0"/>
        <w:rPr>
          <w:lang w:val="de-DE"/>
        </w:rPr>
      </w:pPr>
      <w:r>
        <w:rPr>
          <w:lang w:val="de-DE"/>
        </w:rPr>
        <w:t>Les tâches de l’END comprennent les suivantes:</w:t>
      </w:r>
    </w:p>
    <w:p w14:paraId="63B1D13C" w14:textId="77777777" w:rsidR="00985B71" w:rsidRDefault="00985B71" w:rsidP="00527473">
      <w:pPr>
        <w:spacing w:after="0"/>
        <w:rPr>
          <w:lang w:val="de-DE"/>
        </w:rPr>
      </w:pPr>
      <w:r>
        <w:rPr>
          <w:lang w:val="de-DE"/>
        </w:rPr>
        <w:t>•</w:t>
      </w:r>
      <w:r>
        <w:rPr>
          <w:lang w:val="de-DE"/>
        </w:rPr>
        <w:tab/>
        <w:t>fournir expertise et soutien pour la mise en œuvre de la nouvelle législation pharmaceutique de l’UE, notamment en coopérant avec l’Agence européenne des médicaments, les États membres et les chefs des agences des médicaments;</w:t>
      </w:r>
    </w:p>
    <w:p w14:paraId="0F82FFA6" w14:textId="77777777" w:rsidR="00985B71" w:rsidRDefault="00985B71" w:rsidP="00527473">
      <w:pPr>
        <w:spacing w:after="0"/>
        <w:rPr>
          <w:lang w:val="de-DE"/>
        </w:rPr>
      </w:pPr>
      <w:r>
        <w:rPr>
          <w:lang w:val="de-DE"/>
        </w:rPr>
        <w:t>•</w:t>
      </w:r>
      <w:r>
        <w:rPr>
          <w:lang w:val="de-DE"/>
        </w:rPr>
        <w:tab/>
        <w:t>contribuer aux activités stratégiques, notamment aux actions liées à la nouvelle législation pharmaceutique de l’UE et aux travaux préparatoires pour les actes d’exécution et les actes délégués ou d’autres documents d’orientation pertinents;</w:t>
      </w:r>
    </w:p>
    <w:p w14:paraId="31FF79F9" w14:textId="77777777" w:rsidR="00985B71" w:rsidRDefault="00985B71" w:rsidP="00527473">
      <w:pPr>
        <w:spacing w:after="0"/>
        <w:rPr>
          <w:lang w:val="de-DE"/>
        </w:rPr>
      </w:pPr>
      <w:r>
        <w:rPr>
          <w:lang w:val="de-DE"/>
        </w:rPr>
        <w:t>•</w:t>
      </w:r>
      <w:r>
        <w:rPr>
          <w:lang w:val="de-DE"/>
        </w:rPr>
        <w:tab/>
        <w:t>soutenir les activités liées à l’autorisation des médicaments à l’échelle de l’UE;</w:t>
      </w:r>
    </w:p>
    <w:p w14:paraId="13D75404" w14:textId="77777777" w:rsidR="00985B71" w:rsidRDefault="00985B71" w:rsidP="00527473">
      <w:pPr>
        <w:spacing w:after="0"/>
        <w:rPr>
          <w:lang w:val="de-DE"/>
        </w:rPr>
      </w:pPr>
      <w:r>
        <w:rPr>
          <w:lang w:val="de-DE"/>
        </w:rPr>
        <w:t>•</w:t>
      </w:r>
      <w:r>
        <w:rPr>
          <w:lang w:val="de-DE"/>
        </w:rPr>
        <w:tab/>
        <w:t>élaborer, rédiger et gérer la législation et les lignes directrices concernant les produits pharmaceutiques;</w:t>
      </w:r>
    </w:p>
    <w:p w14:paraId="11E832ED" w14:textId="77777777" w:rsidR="00985B71" w:rsidRDefault="00985B71" w:rsidP="00527473">
      <w:pPr>
        <w:spacing w:after="0"/>
        <w:rPr>
          <w:lang w:val="de-DE"/>
        </w:rPr>
      </w:pPr>
      <w:r>
        <w:rPr>
          <w:lang w:val="de-DE"/>
        </w:rPr>
        <w:t>•</w:t>
      </w:r>
      <w:r>
        <w:rPr>
          <w:lang w:val="de-DE"/>
        </w:rPr>
        <w:tab/>
        <w:t>garantir une mise en œuvre efficace de la législation de l’Union européenne;</w:t>
      </w:r>
    </w:p>
    <w:p w14:paraId="7B92B82C" w14:textId="13F65E48" w:rsidR="00A95A44" w:rsidRPr="00E61551" w:rsidRDefault="00985B71" w:rsidP="00527473">
      <w:pPr>
        <w:spacing w:after="0"/>
        <w:rPr>
          <w:lang w:val="de-DE"/>
        </w:rPr>
      </w:pPr>
      <w:r>
        <w:rPr>
          <w:lang w:val="de-DE"/>
        </w:rPr>
        <w:t>•</w:t>
      </w:r>
      <w:r>
        <w:rPr>
          <w:lang w:val="de-DE"/>
        </w:rPr>
        <w:tab/>
        <w:t>faciliter les échanges avec les États membres et l’Agence européenne des médicaments, et mettre au point des bonnes pratiques.</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33C62538" w:rsidR="0017274D" w:rsidRPr="00E61551" w:rsidRDefault="00985B71"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2DF9F859" w:rsidR="00A95A44" w:rsidRDefault="00985B71" w:rsidP="00527473">
      <w:pPr>
        <w:spacing w:after="0"/>
        <w:rPr>
          <w:lang w:val="de-DE"/>
        </w:rPr>
      </w:pPr>
      <w:r>
        <w:rPr>
          <w:lang w:val="de-DE"/>
        </w:rPr>
        <w:t>Der/die ANS wird dem Referat D.1 zugewiesen. Das Referat SANTE D1 „Arzneimittel: Politik, Zulassung und Überwachung" befasst sich mit wichtigen Teilen des Rechtsrahmens für Humanarzneimittel. Es leitete die Reform des EU-Arzneimittelrechts und ist für einen erheblichen Teil seiner Umsetzung verantwortlich. Es ist außerdem für das Verfahren zur Erteilung von Genehmigungen für das Inverkehrbringen von Arzneimitteln in der gesamten EU zuständig. Das Referat arbeitet regelmäßig mit der Europäischen Arzneimittel-Agentur zusammen.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33CBCA3" w14:textId="77777777" w:rsidR="00985B71" w:rsidRDefault="00985B71" w:rsidP="00527473">
      <w:pPr>
        <w:spacing w:after="0"/>
        <w:rPr>
          <w:lang w:val="de-DE"/>
        </w:rPr>
      </w:pPr>
      <w:r>
        <w:rPr>
          <w:lang w:val="de-DE"/>
        </w:rPr>
        <w:t>Der/die abgeordnete nationale Sachverständige wird sich dem Team in einer entscheidenden Phase der Entwicklung der Arzneimittelpolitik der EU anschließen, die durch rasche Innovation, bedeutende wissenschaftliche Fortschritte und ein sich wandelndes regulatorisches und geopolitisches Umfeld gekennzeichnet ist. Die derzeitigen Rahmenbedingungen für die Zulassung von Arzneimitteln wandeln sich mit dem Aufkommen neuer Entwicklungen, darunter integrierte Therapien, personalisierte Medizin und die wachsende Bedeutung von Daten, künstlicher Intelligenz und algorithmenbasierten Technologien.</w:t>
      </w:r>
    </w:p>
    <w:p w14:paraId="159C43A4" w14:textId="77777777" w:rsidR="00985B71" w:rsidRDefault="00985B71" w:rsidP="00527473">
      <w:pPr>
        <w:spacing w:after="0"/>
        <w:rPr>
          <w:lang w:val="de-DE"/>
        </w:rPr>
      </w:pPr>
      <w:r>
        <w:rPr>
          <w:lang w:val="de-DE"/>
        </w:rPr>
        <w:t>In diesem Zusammenhang ist die EU-Arzneimittelreform eine umfassende und zukunftsorientierte politische Reaktion, mit der sichergestellt werden soll, dass der Arzneimittelrahmen der Union weiterhin zweckmäßig, widerstandsfähig und zukunftsfähig bleibt. Nach dem erfolgreichen Abschluss der Verhandlungen und der bevorstehenden förmlichen Annahme des neuen Arzneimittelrechts durch das Europäische Parlament und den Rat verlagert sich der Schwerpunkt nun auf die entscheidende Umsetzungsphase, wobei viele Umsetzungsmaßnahmen in den nächsten zwei bis drei Jahren abgeschlossen werden müssen, insbesondere in Hinblick auf die Aktualisierung von Anhang II, elektronische Produktinformationen, die Schließung medizinischer Versorgungslücken und Zugangsbestimmungen.</w:t>
      </w:r>
    </w:p>
    <w:p w14:paraId="2BE34DBA" w14:textId="51513C02" w:rsidR="00A95A44" w:rsidRPr="00A95A44" w:rsidRDefault="00985B71" w:rsidP="00527473">
      <w:pPr>
        <w:spacing w:after="0"/>
        <w:rPr>
          <w:lang w:val="de-DE"/>
        </w:rPr>
      </w:pPr>
      <w:r>
        <w:rPr>
          <w:lang w:val="de-DE"/>
        </w:rPr>
        <w:t>Diese Phase wird entscheidend dafür sein, die innovativen Bestimmungen der neuen Rechtsvorschriften in konkrete Ergebnisse umzusetzen, um wissenschaftliche Exzellenz zu steigern, die Wettbewerbsfähigkeit des Arzneimittelsektors zu stärken und einen nachhaltigen und gleichberechtigten Zugang zu Arzneimitteln für Patientinnen und Patienten in der gesamten Europäischen Union zu fördern.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0E4EC907" w14:textId="77777777" w:rsidR="00985B71" w:rsidRDefault="00985B71" w:rsidP="00527473">
      <w:pPr>
        <w:spacing w:after="0"/>
        <w:rPr>
          <w:lang w:val="en-US"/>
        </w:rPr>
      </w:pPr>
      <w:r>
        <w:rPr>
          <w:lang w:val="en-US"/>
        </w:rPr>
        <w:t>Die Aufgaben des/der ANS umfassen Folgendes:</w:t>
      </w:r>
    </w:p>
    <w:p w14:paraId="1266B266" w14:textId="77777777" w:rsidR="00985B71" w:rsidRDefault="00985B71" w:rsidP="00527473">
      <w:pPr>
        <w:spacing w:after="0"/>
        <w:rPr>
          <w:lang w:val="en-US"/>
        </w:rPr>
      </w:pPr>
      <w:r>
        <w:rPr>
          <w:lang w:val="en-US"/>
        </w:rPr>
        <w:t>•</w:t>
      </w:r>
      <w:r>
        <w:rPr>
          <w:lang w:val="en-US"/>
        </w:rPr>
        <w:tab/>
        <w:t>Einbringen von Fachwissen und Unterstützung bei der Umsetzung des neuen EU-Arzneimittelrechts, unter anderem durch Zusammenarbeit mit der Europäischen Arzneimittel-Agentur, den Mitgliedstaaten und den Leitern der Arzneimittelagenturen;</w:t>
      </w:r>
    </w:p>
    <w:p w14:paraId="2D2727EF" w14:textId="77777777" w:rsidR="00985B71" w:rsidRDefault="00985B71" w:rsidP="00527473">
      <w:pPr>
        <w:spacing w:after="0"/>
        <w:rPr>
          <w:lang w:val="en-US"/>
        </w:rPr>
      </w:pPr>
      <w:r>
        <w:rPr>
          <w:lang w:val="en-US"/>
        </w:rPr>
        <w:t>•</w:t>
      </w:r>
      <w:r>
        <w:rPr>
          <w:lang w:val="en-US"/>
        </w:rPr>
        <w:tab/>
        <w:t>Beitrag zu politischen Tätigkeiten, einschließlich Maßnahmen im Zusammenhang mit dem neuen EU-Arzneimittelrecht und Vorbereitungsarbeiten für Durchführungsrechtsakte und delegierte Rechtsakte oder einschlägige Leitfäden;</w:t>
      </w:r>
    </w:p>
    <w:p w14:paraId="2A46652D" w14:textId="77777777" w:rsidR="00985B71" w:rsidRDefault="00985B71" w:rsidP="00527473">
      <w:pPr>
        <w:spacing w:after="0"/>
        <w:rPr>
          <w:lang w:val="en-US"/>
        </w:rPr>
      </w:pPr>
      <w:r>
        <w:rPr>
          <w:lang w:val="en-US"/>
        </w:rPr>
        <w:t>•</w:t>
      </w:r>
      <w:r>
        <w:rPr>
          <w:lang w:val="en-US"/>
        </w:rPr>
        <w:tab/>
        <w:t>Unterstützung von Tätigkeiten im Zusammenhang mit der Zulassung von Arzneimitteln auf EU-Ebene;</w:t>
      </w:r>
    </w:p>
    <w:p w14:paraId="59740357" w14:textId="77777777" w:rsidR="00985B71" w:rsidRDefault="00985B71" w:rsidP="00527473">
      <w:pPr>
        <w:spacing w:after="0"/>
        <w:rPr>
          <w:lang w:val="en-US"/>
        </w:rPr>
      </w:pPr>
      <w:r>
        <w:rPr>
          <w:lang w:val="en-US"/>
        </w:rPr>
        <w:t>•</w:t>
      </w:r>
      <w:r>
        <w:rPr>
          <w:lang w:val="en-US"/>
        </w:rPr>
        <w:tab/>
        <w:t>Ausarbeitung und Verwaltung von Rechtsvorschriften und Leitlinien für Arzneimittel;</w:t>
      </w:r>
    </w:p>
    <w:p w14:paraId="6B98ACAB" w14:textId="77777777" w:rsidR="00985B71" w:rsidRDefault="00985B71" w:rsidP="00527473">
      <w:pPr>
        <w:spacing w:after="0"/>
        <w:rPr>
          <w:lang w:val="en-US"/>
        </w:rPr>
      </w:pPr>
      <w:r>
        <w:rPr>
          <w:lang w:val="en-US"/>
        </w:rPr>
        <w:t>•</w:t>
      </w:r>
      <w:r>
        <w:rPr>
          <w:lang w:val="en-US"/>
        </w:rPr>
        <w:tab/>
        <w:t>Gewährleistung einer wirksamen Umsetzung der EU-Rechtsvorschriften;</w:t>
      </w:r>
    </w:p>
    <w:p w14:paraId="7DFF067A" w14:textId="37DF435E" w:rsidR="00792E59" w:rsidRPr="00A10C67" w:rsidRDefault="00985B71" w:rsidP="00527473">
      <w:pPr>
        <w:spacing w:after="0"/>
        <w:rPr>
          <w:lang w:val="en-US"/>
        </w:rPr>
      </w:pPr>
      <w:r>
        <w:rPr>
          <w:lang w:val="en-US"/>
        </w:rPr>
        <w:t>•</w:t>
      </w:r>
      <w:r>
        <w:rPr>
          <w:lang w:val="en-US"/>
        </w:rPr>
        <w:tab/>
        <w:t>Erleichterung des Austauschs zwischen den Mitgliedstaaten und der Europäischen Arzneimittel-Agentur sowie Entwicklung bewährter Verfahren.</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985B71"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985B71"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985B71"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985B71"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985B71"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985B71"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985B71"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985B71"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985B71"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985B71"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85B71"/>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E28C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037B843D-0432-42DC-BEEE-B9055F1FD3AD}"/>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3341</Words>
  <Characters>19050</Characters>
  <Application>Microsoft Office Word</Application>
  <DocSecurity>4</DocSecurity>
  <PresentationFormat>Microsoft Word 14.0</PresentationFormat>
  <Lines>158</Lines>
  <Paragraphs>44</Paragraphs>
  <ScaleCrop>true</ScaleCrop>
  <Company/>
  <LinksUpToDate>false</LinksUpToDate>
  <CharactersWithSpaces>22347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2026-07-13T12:30:00Z</dcterms:created>
  <dcterms:modified xsi:type="dcterms:W3CDTF">2026-07-13T12:30:00Z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