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82AC951" w:rsidR="005C6DCE" w:rsidRPr="0080358B" w:rsidRDefault="008776B5"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8776B5"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9415F8A" w:rsidR="006938F5" w:rsidRDefault="008776B5" w:rsidP="006718D3">
            <w:pPr>
              <w:spacing w:after="0"/>
              <w:jc w:val="left"/>
            </w:pPr>
            <w:r>
              <w:t>HR.DS.2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55A2CBC" w:rsidR="006938F5" w:rsidRDefault="008776B5" w:rsidP="006718D3">
            <w:pPr>
              <w:spacing w:after="0"/>
              <w:jc w:val="left"/>
            </w:pPr>
            <w:r>
              <w:t>388554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E479ADF" w:rsidR="4EEB584D" w:rsidRDefault="008776B5"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FEA52CA" w:rsidR="006938F5" w:rsidRDefault="008776B5"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0D1A858" w:rsidR="3C2D33B5" w:rsidRDefault="008776B5" w:rsidP="14270372">
            <w:pPr>
              <w:spacing w:after="0"/>
              <w:jc w:val="left"/>
            </w:pPr>
            <w:r>
              <w:t>Brussels</w:t>
            </w:r>
          </w:p>
          <w:p w14:paraId="6B7C1AA9" w14:textId="3084014C" w:rsidR="3C2D33B5" w:rsidRDefault="008776B5" w:rsidP="14270372">
            <w:pPr>
              <w:spacing w:after="0"/>
              <w:jc w:val="left"/>
            </w:pPr>
            <w:r>
              <w:t>Bruxelles</w:t>
            </w:r>
          </w:p>
          <w:p w14:paraId="5C918E8F" w14:textId="53EF46E5" w:rsidR="3C2D33B5" w:rsidRDefault="008776B5"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A257B21" w:rsidR="006938F5" w:rsidRDefault="008776B5" w:rsidP="006718D3">
            <w:pPr>
              <w:spacing w:after="0"/>
              <w:jc w:val="left"/>
            </w:pPr>
            <w:r>
              <w:t>With allowances</w:t>
            </w:r>
          </w:p>
          <w:p w14:paraId="02E31856" w14:textId="41B18A01" w:rsidR="006938F5" w:rsidRDefault="008776B5" w:rsidP="006718D3">
            <w:pPr>
              <w:spacing w:after="0"/>
              <w:jc w:val="left"/>
            </w:pPr>
            <w:r>
              <w:t>Avec indemnités</w:t>
            </w:r>
          </w:p>
          <w:p w14:paraId="720FD450" w14:textId="77F5AF01" w:rsidR="006938F5" w:rsidRDefault="008776B5"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39EFC83" w:rsidR="006938F5" w:rsidRDefault="008776B5" w:rsidP="006718D3">
            <w:pPr>
              <w:spacing w:after="0"/>
              <w:jc w:val="left"/>
            </w:pPr>
            <w:r>
              <w:t>Member States</w:t>
            </w:r>
          </w:p>
          <w:p w14:paraId="2A7DF233" w14:textId="0193504C" w:rsidR="006938F5" w:rsidRDefault="008776B5" w:rsidP="006718D3">
            <w:pPr>
              <w:spacing w:after="0"/>
              <w:jc w:val="left"/>
            </w:pPr>
            <w:r>
              <w:t>États membres</w:t>
            </w:r>
          </w:p>
          <w:p w14:paraId="13C75E2E" w14:textId="34DA69D5" w:rsidR="006938F5" w:rsidRDefault="008776B5"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8E4B3C5" w:rsidR="006938F5" w:rsidRDefault="008776B5"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50B1F19" w:rsidR="00A95A44" w:rsidRPr="00E61551" w:rsidRDefault="008776B5"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5DFC5017" w:rsidR="00A95A44" w:rsidRDefault="008776B5" w:rsidP="003C1977">
      <w:pPr>
        <w:spacing w:after="0"/>
      </w:pPr>
      <w:r>
        <w:t>We are HR.DS.2, the Unit responsible for Investigations &amp; Analysis within the Security Directorate of DG Human Resources and Security. Our mission is to protect the Commission’s staff, assets and information against all type of threats deriving from terrorism, violent extremism, hostile intelligence and other origins. The Unit is divided into four sections and composed of around 45 staff members (including Seconded National Experts), working in a dynamic and friendly environment. The main tasks of the Unit are counter-intelligence (CI) and counter-terrorism (CT) work, threat assessments, cyber response (CART) and open source intelligence (OSINT). The Unit is responsible for carrying out security investigations in the fields of espionage and terrorism, as well as raising awareness of staff members, including Cabinets and Commissioners about CI and CT-related security risks. The Unit is the Commission's point of contact for Member States’ security and intelligence services.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8D28022" w14:textId="77777777" w:rsidR="008776B5" w:rsidRDefault="008776B5" w:rsidP="003C1977">
      <w:pPr>
        <w:spacing w:after="0"/>
      </w:pPr>
      <w:r>
        <w:t>We propose a position as analyst/investigator in the Counter-Terrorism, Counter-Extremism (CT/CE) Sector, composed of 9 staff members. The Sector identifies, analyses, assesses, investigates and monitors potential threats stemming from terrorism, violent forms of extremism and protests, armed conflict, crime, as well as violent behaviour of individuals against the Commission’s interests (staff, including VIPs, and buildings) both within the EU, and when travelling on mission to third countries. When needed, the Sector carries out security investigations in the field of counter-terrorism in collaboration with competent EU Member States authorities.</w:t>
      </w:r>
    </w:p>
    <w:p w14:paraId="53E929D4" w14:textId="77777777" w:rsidR="008776B5" w:rsidRDefault="008776B5" w:rsidP="003C1977">
      <w:pPr>
        <w:spacing w:after="0"/>
      </w:pPr>
      <w:r>
        <w:t>The person will be responsible for:</w:t>
      </w:r>
    </w:p>
    <w:p w14:paraId="603C2484" w14:textId="77777777" w:rsidR="008776B5" w:rsidRDefault="008776B5" w:rsidP="003C1977">
      <w:pPr>
        <w:spacing w:after="0"/>
      </w:pPr>
      <w:r>
        <w:t>• Identifying, analysing and assessing threats stemming from terrorism, violent forms of extremism and civil unrest against European Commission interests (its staff and facilities) in all the places of activities within the European Union;</w:t>
      </w:r>
    </w:p>
    <w:p w14:paraId="7FC02BBC" w14:textId="77777777" w:rsidR="008776B5" w:rsidRDefault="008776B5" w:rsidP="003C1977">
      <w:pPr>
        <w:spacing w:after="0"/>
      </w:pPr>
      <w:r>
        <w:t>• Monitoring relevant sources (including open sources and social networks) in relation to the threat factors mentioned above;</w:t>
      </w:r>
    </w:p>
    <w:p w14:paraId="5A1DC9B9" w14:textId="77777777" w:rsidR="008776B5" w:rsidRDefault="008776B5" w:rsidP="003C1977">
      <w:pPr>
        <w:spacing w:after="0"/>
      </w:pPr>
      <w:r>
        <w:t>• Prepare the Mission Security Advice reports for Commission’s staff and Commissioners travelling to third countries on short-term missions and advice on how to mitigate the identified threats;</w:t>
      </w:r>
    </w:p>
    <w:p w14:paraId="25DA113A" w14:textId="77777777" w:rsidR="008776B5" w:rsidRDefault="008776B5" w:rsidP="003C1977">
      <w:pPr>
        <w:spacing w:after="0"/>
      </w:pPr>
      <w:r>
        <w:t xml:space="preserve">• Producing ad-hoc incident reports; </w:t>
      </w:r>
    </w:p>
    <w:p w14:paraId="08DEC75B" w14:textId="77777777" w:rsidR="008776B5" w:rsidRDefault="008776B5" w:rsidP="003C1977">
      <w:pPr>
        <w:spacing w:after="0"/>
      </w:pPr>
      <w:r>
        <w:t>• Producing threat assessments for buildings of the Commission;</w:t>
      </w:r>
    </w:p>
    <w:p w14:paraId="47120202" w14:textId="77777777" w:rsidR="008776B5" w:rsidRDefault="008776B5" w:rsidP="003C1977">
      <w:pPr>
        <w:spacing w:after="0"/>
      </w:pPr>
      <w:r>
        <w:t>• Contributing to Sector’s reports and briefings.</w:t>
      </w:r>
    </w:p>
    <w:p w14:paraId="7941EB4F" w14:textId="77777777" w:rsidR="008776B5" w:rsidRDefault="008776B5" w:rsidP="003C1977">
      <w:pPr>
        <w:spacing w:after="0"/>
      </w:pPr>
      <w:r>
        <w:t>• Representing the Sector in relevant committees and working group meetings;</w:t>
      </w:r>
    </w:p>
    <w:p w14:paraId="496296F9" w14:textId="77777777" w:rsidR="008776B5" w:rsidRDefault="008776B5" w:rsidP="003C1977">
      <w:pPr>
        <w:spacing w:after="0"/>
      </w:pPr>
      <w:r>
        <w:t>• Maintaining and further developing operational relations as well as keeping regular exchanges with relevant Member States services and other EU Institutions, bodies and international organisations, in the field of counter-terrorism.</w:t>
      </w:r>
    </w:p>
    <w:p w14:paraId="1AD8E742" w14:textId="77777777" w:rsidR="008776B5" w:rsidRDefault="008776B5" w:rsidP="003C1977">
      <w:pPr>
        <w:spacing w:after="0"/>
      </w:pPr>
      <w:r>
        <w:t>• Tasks might include to carry out security investigations in the field of counter-terrorism and counter-extremism in relation to European Commission’s interests (its staff and facilities), in collaboration with Member States' services.</w:t>
      </w:r>
    </w:p>
    <w:p w14:paraId="4FA38409" w14:textId="421781BC"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9371890" w14:textId="77777777" w:rsidR="008776B5" w:rsidRDefault="008776B5" w:rsidP="00527473">
      <w:pPr>
        <w:spacing w:after="0"/>
        <w:jc w:val="left"/>
      </w:pPr>
      <w:r>
        <w:t>We are a friendly and dynamic team, looking for a motivated, pragmatic and team-oriented colleague with a strong sense of responsibility, discretion and professionalism. The successful candidate should have a solid knowledge and/or experience in operational analysis in the field of counter-terrorism and counter-extremism, as well as in security threat assessments. Experience in conducting investigations or screenings of communication of concern is a plus.</w:t>
      </w:r>
    </w:p>
    <w:p w14:paraId="2E7DEE35" w14:textId="77777777" w:rsidR="008776B5" w:rsidRDefault="008776B5" w:rsidP="00527473">
      <w:pPr>
        <w:spacing w:after="0"/>
        <w:jc w:val="left"/>
      </w:pPr>
      <w:r>
        <w:t>The job requires strong analytical skills, capacity to deliver in a structured way, a robust methodological and procedural approach as well as sound judgement capabilities. Excellent communication skills as well as the ability to write in a clear, accurate and concise manner are required. The selected candidate will have the ability to work under pressure, be resilient. S/he should have a positive attitude and should be result-oriented, open-minded and flexible with good organisational and prioritisation skills.</w:t>
      </w:r>
    </w:p>
    <w:p w14:paraId="07D38BC5" w14:textId="77777777" w:rsidR="008776B5" w:rsidRDefault="008776B5" w:rsidP="00527473">
      <w:pPr>
        <w:spacing w:after="0"/>
        <w:jc w:val="left"/>
      </w:pPr>
      <w:r>
        <w:t>The unit's main working language is English for which proficiency is required, both in terms of written production (notes and reports) and oral delivery (meetings and presentations to small or large audiences). A good knowledge of French is considered as an asset.</w:t>
      </w:r>
    </w:p>
    <w:p w14:paraId="7B86E6B2" w14:textId="77777777" w:rsidR="008776B5" w:rsidRDefault="008776B5" w:rsidP="00527473">
      <w:pPr>
        <w:spacing w:after="0"/>
        <w:jc w:val="left"/>
      </w:pPr>
      <w:r>
        <w:t>The candidate must either be a holder of a valid security clearance up to the level of "SECRET UE/EU SECRET" or be willing to undergo the national security vetting procedure in order to be allowed to perform her/his job.</w:t>
      </w:r>
    </w:p>
    <w:p w14:paraId="0DE8C532" w14:textId="4558D241"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3F860B06" w:rsidR="0017274D" w:rsidRPr="008250D4" w:rsidRDefault="008776B5"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2B57C58A" w:rsidR="00A95A44" w:rsidRPr="00E61551" w:rsidRDefault="008776B5" w:rsidP="00527473">
      <w:pPr>
        <w:spacing w:after="0"/>
        <w:rPr>
          <w:lang w:val="de-DE"/>
        </w:rPr>
      </w:pPr>
      <w:r>
        <w:rPr>
          <w:lang w:val="de-DE"/>
        </w:rPr>
        <w:t>L’unité HR.DS.2 est chargée d’investigation et d’analyse au sein de la direction de la sécurité de la DG Ressources Humaines et Sécurité. Sa mission est de protéger la Commission (personnel, infrastructures et information) contre toute menace en lien avec le terrorisme, l'extrémisme violent, et l’espionnage notamment. L'unité est composée d'environ 45 membres (dont des experts nationaux détachés), répartis en quatre sections, travaillant dans un environnement dynamique et convivial. Les principales tâches de l'unité sont le contre-espionnage (CI) et le contre-terrorisme (CT), l'évaluation des menaces, la cyberdéfense (CART) et le renseignement de source ouverte (OSINT). L'unité est chargée de mener des enquêtes de sécurité dans les domaines du contre-espionnage et du terrorisme. Elle est aussi chargée de missions de sensibilisation auprès de l’ensemble du personnel, dont les commissaires et les membres des cabinets, aux risques de sécurité liés au contre-espionnage et au contre-terrorisme. L'unité est le point de contact privilégié de la Commission pour les services de sécurité et de renseignement des États membres.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D4C1119" w14:textId="77777777" w:rsidR="008776B5" w:rsidRDefault="008776B5" w:rsidP="00527473">
      <w:pPr>
        <w:spacing w:after="0"/>
        <w:jc w:val="left"/>
        <w:rPr>
          <w:lang w:val="de-DE"/>
        </w:rPr>
      </w:pPr>
      <w:r>
        <w:rPr>
          <w:lang w:val="de-DE"/>
        </w:rPr>
        <w:t>Nous proposons un poste d'analyste/enquêteur au sein du secteur chargé de la lutte contre le terrorisme et l'extrémisme (CT/CE), composé de 9 personnes. Ce secteur identifie, analyse, évalue, enquête et réalise le suivi de menaces potentielles liées au terrorisme, aux formes violentes d'extrémisme et d’activisme, aux conflits armés, à la criminalité, ainsi qu’aux individus potentiellement violents susceptibles de viser les intérêts de la Commission (personnel, VIP, évènements, infrastructures), à la fois au sein de l'UE et dans des pays tiers. Le cas échéant, le secteur peut être amené à effectuer des enquêtes de sécurité en collaboration avec les autorités compétentes des États membres de l'UE.</w:t>
      </w:r>
    </w:p>
    <w:p w14:paraId="708EFA8A" w14:textId="77777777" w:rsidR="008776B5" w:rsidRDefault="008776B5" w:rsidP="00527473">
      <w:pPr>
        <w:spacing w:after="0"/>
        <w:jc w:val="left"/>
        <w:rPr>
          <w:lang w:val="de-DE"/>
        </w:rPr>
      </w:pPr>
      <w:r>
        <w:rPr>
          <w:lang w:val="de-DE"/>
        </w:rPr>
        <w:t>La personne sera chargée de :</w:t>
      </w:r>
    </w:p>
    <w:p w14:paraId="72E5CC99" w14:textId="77777777" w:rsidR="008776B5" w:rsidRDefault="008776B5" w:rsidP="00527473">
      <w:pPr>
        <w:spacing w:after="0"/>
        <w:jc w:val="left"/>
        <w:rPr>
          <w:lang w:val="de-DE"/>
        </w:rPr>
      </w:pPr>
      <w:r>
        <w:rPr>
          <w:lang w:val="de-DE"/>
        </w:rPr>
        <w:t>- Identifier, analyser et évaluer les menaces provenant du terrorisme, des formes violentes d'extrémisme et de tout autre menace sécuritaire physique susceptible de viser les intérêts de la Commission européenne (personnel infrastructures) au sein de l'Union européenne ;</w:t>
      </w:r>
    </w:p>
    <w:p w14:paraId="50519350" w14:textId="77777777" w:rsidR="008776B5" w:rsidRDefault="008776B5" w:rsidP="00527473">
      <w:pPr>
        <w:spacing w:after="0"/>
        <w:jc w:val="left"/>
        <w:rPr>
          <w:lang w:val="de-DE"/>
        </w:rPr>
      </w:pPr>
      <w:r>
        <w:rPr>
          <w:lang w:val="de-DE"/>
        </w:rPr>
        <w:t>- Surveiller les sources ouvertes pertinentes (dont les réseaux sociaux) s’agissant des facteurs de menace mentionnés ci-dessus ;</w:t>
      </w:r>
    </w:p>
    <w:p w14:paraId="7A83027C" w14:textId="77777777" w:rsidR="008776B5" w:rsidRDefault="008776B5" w:rsidP="00527473">
      <w:pPr>
        <w:spacing w:after="0"/>
        <w:jc w:val="left"/>
        <w:rPr>
          <w:lang w:val="de-DE"/>
        </w:rPr>
      </w:pPr>
      <w:r>
        <w:rPr>
          <w:lang w:val="de-DE"/>
        </w:rPr>
        <w:t>- Préparer des documents de sécurité destinés au personnel et VIP de la Commission en mission de courte durée dans des pays tiers ; prodiguer des conseils sur la manière de parer aux menaces identifiées ;</w:t>
      </w:r>
    </w:p>
    <w:p w14:paraId="0AF333CC" w14:textId="77777777" w:rsidR="008776B5" w:rsidRDefault="008776B5" w:rsidP="00527473">
      <w:pPr>
        <w:spacing w:after="0"/>
        <w:jc w:val="left"/>
        <w:rPr>
          <w:lang w:val="de-DE"/>
        </w:rPr>
      </w:pPr>
      <w:r>
        <w:rPr>
          <w:lang w:val="de-DE"/>
        </w:rPr>
        <w:t xml:space="preserve">- Produire des rapports d'incidents ad hoc ; </w:t>
      </w:r>
    </w:p>
    <w:p w14:paraId="18548C6F" w14:textId="77777777" w:rsidR="008776B5" w:rsidRDefault="008776B5" w:rsidP="00527473">
      <w:pPr>
        <w:spacing w:after="0"/>
        <w:jc w:val="left"/>
        <w:rPr>
          <w:lang w:val="de-DE"/>
        </w:rPr>
      </w:pPr>
      <w:r>
        <w:rPr>
          <w:lang w:val="de-DE"/>
        </w:rPr>
        <w:t>- Évaluer la menace visant les infrastructures de la Commission;</w:t>
      </w:r>
    </w:p>
    <w:p w14:paraId="4C4013D7" w14:textId="77777777" w:rsidR="008776B5" w:rsidRDefault="008776B5" w:rsidP="00527473">
      <w:pPr>
        <w:spacing w:after="0"/>
        <w:jc w:val="left"/>
        <w:rPr>
          <w:lang w:val="de-DE"/>
        </w:rPr>
      </w:pPr>
      <w:r>
        <w:rPr>
          <w:lang w:val="de-DE"/>
        </w:rPr>
        <w:t>- Contribuer aux rapports et briefings réalisés par le secteur ;</w:t>
      </w:r>
    </w:p>
    <w:p w14:paraId="2DCE87B0" w14:textId="77777777" w:rsidR="008776B5" w:rsidRDefault="008776B5" w:rsidP="00527473">
      <w:pPr>
        <w:spacing w:after="0"/>
        <w:jc w:val="left"/>
        <w:rPr>
          <w:lang w:val="de-DE"/>
        </w:rPr>
      </w:pPr>
      <w:r>
        <w:rPr>
          <w:lang w:val="de-DE"/>
        </w:rPr>
        <w:t>- Représenter le secteur au sein de comités et groupes de travail dédiés ;</w:t>
      </w:r>
    </w:p>
    <w:p w14:paraId="032EA970" w14:textId="77777777" w:rsidR="008776B5" w:rsidRDefault="008776B5" w:rsidP="00527473">
      <w:pPr>
        <w:spacing w:after="0"/>
        <w:jc w:val="left"/>
        <w:rPr>
          <w:lang w:val="de-DE"/>
        </w:rPr>
      </w:pPr>
      <w:r>
        <w:rPr>
          <w:lang w:val="de-DE"/>
        </w:rPr>
        <w:t>- Maintenir et développer les relations opérationnelles et entretenir des échanges réguliers avec les services compétents des États membres et d'autres institutions, entités et organisations internationales de l'UE dans le domaine de la lutte contre le terrorisme.</w:t>
      </w:r>
    </w:p>
    <w:p w14:paraId="71F8E691" w14:textId="77777777" w:rsidR="008776B5" w:rsidRDefault="008776B5" w:rsidP="00527473">
      <w:pPr>
        <w:spacing w:after="0"/>
        <w:jc w:val="left"/>
        <w:rPr>
          <w:lang w:val="de-DE"/>
        </w:rPr>
      </w:pPr>
      <w:r>
        <w:rPr>
          <w:lang w:val="de-DE"/>
        </w:rPr>
        <w:t>- Participer, le cas échéant, à des enquêtes de sécurité dans le domaine de la lutte contre le terrorisme et l'extrémisme violent en lien avec les intérêts de la Commission européenne (son personnel et ses installations), en collaboration avec les services des États membres.</w:t>
      </w:r>
    </w:p>
    <w:p w14:paraId="59404C02" w14:textId="5D7F269B"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C9D2654" w14:textId="77777777" w:rsidR="008776B5" w:rsidRDefault="008776B5" w:rsidP="00527473">
      <w:pPr>
        <w:spacing w:after="0"/>
        <w:rPr>
          <w:lang w:val="de-DE"/>
        </w:rPr>
      </w:pPr>
      <w:r>
        <w:rPr>
          <w:lang w:val="de-DE"/>
        </w:rPr>
        <w:t>Le secteur CT/CE est une équipe conviviale et dynamique, à la recherche d'un collègue professionnel, motivé, pragmatique, ayant l'esprit d'équipe et doté d'un sens développé des responsabilités, de la discrétion. Le candidat retenu devra disposer d’une solide connaissance et/ou expérience en matière d’analyse opérationnelle et d'évaluation de la menace. Une expérience en matière d’enquête ou de détection des communications à risque est un atout.</w:t>
      </w:r>
    </w:p>
    <w:p w14:paraId="3DE0F8A2" w14:textId="77777777" w:rsidR="008776B5" w:rsidRDefault="008776B5" w:rsidP="00527473">
      <w:pPr>
        <w:spacing w:after="0"/>
        <w:rPr>
          <w:lang w:val="de-DE"/>
        </w:rPr>
      </w:pPr>
      <w:r>
        <w:rPr>
          <w:lang w:val="de-DE"/>
        </w:rPr>
        <w:t>Le poste requiert de solides compétences analytiques, une capacité à travailler de manière structurée, une approche méthodologique et procédurale ainsi que de bonnes capacités de jugement. Une aptitude à communiquer efficacement ainsi qu’une capacité à rédiger de manière claire, précise et concise sont requises. Le candidat sélectionné devra être capable de travailler sous une certaine pression et de faire preuve de résilience. Il/elle devra avoir une attitude positive, et être orienté(e) vers les résultats, ouvert(e) d'esprit et flexible, avec de bonnes capacités d'organisation et de hiérarchisation.</w:t>
      </w:r>
    </w:p>
    <w:p w14:paraId="51318890" w14:textId="77777777" w:rsidR="008776B5" w:rsidRDefault="008776B5" w:rsidP="00527473">
      <w:pPr>
        <w:spacing w:after="0"/>
        <w:rPr>
          <w:lang w:val="de-DE"/>
        </w:rPr>
      </w:pPr>
      <w:r>
        <w:rPr>
          <w:lang w:val="de-DE"/>
        </w:rPr>
        <w:t>La principale langue de travail de l'unité est l'anglais, dont la maîtrise est requise, tant pour la production écrite (notes et rapports) que pour l’expression orale (réunions et présentations à des publics restreints ou larges). Une bonne connaissance du français est considérée comme un atout.</w:t>
      </w:r>
    </w:p>
    <w:p w14:paraId="5DD1D18C" w14:textId="77777777" w:rsidR="008776B5" w:rsidRDefault="008776B5" w:rsidP="00527473">
      <w:pPr>
        <w:spacing w:after="0"/>
        <w:rPr>
          <w:lang w:val="de-DE"/>
        </w:rPr>
      </w:pPr>
      <w:r>
        <w:rPr>
          <w:lang w:val="de-DE"/>
        </w:rPr>
        <w:t>Le candidat doit être titulaire d'une habilitation de sécurité en cours de validité jusqu'au niveau "SECRET UE/EU SECRET" ou être disposé à se soumettre à la procédure d'habilitation de sécurité nationale pour être autorisé à exercer ses fonctions.</w:t>
      </w:r>
    </w:p>
    <w:p w14:paraId="7B92B82C" w14:textId="5AAA998E"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531D142" w:rsidR="0017274D" w:rsidRPr="00E61551" w:rsidRDefault="008776B5"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440BF496" w:rsidR="00A95A44" w:rsidRDefault="008776B5" w:rsidP="00527473">
      <w:pPr>
        <w:spacing w:after="0"/>
        <w:rPr>
          <w:lang w:val="de-DE"/>
        </w:rPr>
      </w:pPr>
      <w:r>
        <w:rPr>
          <w:lang w:val="de-DE"/>
        </w:rPr>
        <w:t>Wir sind HR.DS.2, das für Ermittlungen und Analysen zuständige Einheit innerhalb der Direktion Sicherheit der Generaldirektion Humanressourcen und Sicherheit. Unsere Aufgabe ist es, das Personal, die Vermögenswerte und die Informationen der Kommission vor allen Arten von Bedrohungen zu schützen, die von Terrorismus, gewalttätigem Extremismus, feindlichen Nachrichtendiensten und anderen Ursprüngen ausgehen. Die Einheit besteht aus etwa 45 Mitarbeitern (einschließlich abgeordneter nationaler Experten), die in vier Sektoren unterteilt sind und in einem dynamischen und freundlichen Umfeld arbeiten. Die Hauptaufgaben des Referats sind Spionageabwehr (CI) und Terrorismusbekämpfung (CT), Bedrohungsanalysen, Cyber Response (CART) und Open Source Intelligence (OSINT). Die Einheit ist verantwortlich für die Durchführung von Sicherheitsermittlungen in den Bereichen Spionage und Terrorismus und für die Sensibilisierung der Mitarbeiter, einschließlich der Kabinette und Kommissare, gegenüber Sicherheitsrisiken im Zusammenhang mit Spionage und Terrorismus. Die Einheit ist zudem die Kontaktstelle für die Sicherheits- und Nachrichtendienste der Mitgliedstaaten in der Kommission.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4DFC9D0" w14:textId="77777777" w:rsidR="008776B5" w:rsidRDefault="008776B5" w:rsidP="00527473">
      <w:pPr>
        <w:spacing w:after="0"/>
        <w:rPr>
          <w:lang w:val="de-DE"/>
        </w:rPr>
      </w:pPr>
      <w:r>
        <w:rPr>
          <w:lang w:val="de-DE"/>
        </w:rPr>
        <w:t xml:space="preserve">Wir schlagen eine Stelle als Analyst/Ermittler im Bereich Terrorismus- und Extremismusbekämpfung (CT/CE) vor, der aus 9 Mitarbeitern besteht. </w:t>
      </w:r>
    </w:p>
    <w:p w14:paraId="38C66E16" w14:textId="77777777" w:rsidR="008776B5" w:rsidRDefault="008776B5" w:rsidP="00527473">
      <w:pPr>
        <w:spacing w:after="0"/>
        <w:rPr>
          <w:lang w:val="de-DE"/>
        </w:rPr>
      </w:pPr>
      <w:r>
        <w:rPr>
          <w:lang w:val="de-DE"/>
        </w:rPr>
        <w:t>Der Sektor identifiziert, analysiert, bewertet, untersucht und überwacht potenzielle Bedrohungen, die von Terrorismus, gewalttätigen Formen des Extremismus und Protesten, bewaffneten Konflikten, Verbrechen sowie gewalttätigem Verhalten von Einzelpersonen gegen die Interessen der Kommission (Personal, einschließlich VIPs, und Gebäuden) sowohl innerhalb der EU als auch bei Dienstreisen in Drittländer ausgehen.</w:t>
      </w:r>
    </w:p>
    <w:p w14:paraId="77DE6AD4" w14:textId="77777777" w:rsidR="008776B5" w:rsidRDefault="008776B5" w:rsidP="00527473">
      <w:pPr>
        <w:spacing w:after="0"/>
        <w:rPr>
          <w:lang w:val="de-DE"/>
        </w:rPr>
      </w:pPr>
      <w:r>
        <w:rPr>
          <w:lang w:val="de-DE"/>
        </w:rPr>
        <w:t>Bei Bedarf führt der Bereich in Zusammenarbeit mit den zuständigen Behörden der EU-Mitgliedstaaten Sicherheitsermittlungen im Bereich der Terrorismusbekämpfung durch.</w:t>
      </w:r>
    </w:p>
    <w:p w14:paraId="04EA9E95" w14:textId="77777777" w:rsidR="008776B5" w:rsidRDefault="008776B5" w:rsidP="00527473">
      <w:pPr>
        <w:spacing w:after="0"/>
        <w:rPr>
          <w:lang w:val="de-DE"/>
        </w:rPr>
      </w:pPr>
      <w:r>
        <w:rPr>
          <w:lang w:val="de-DE"/>
        </w:rPr>
        <w:t>Die Stelleninhaber ist verantwortlich für:</w:t>
      </w:r>
    </w:p>
    <w:p w14:paraId="4D077B7D" w14:textId="77777777" w:rsidR="008776B5" w:rsidRDefault="008776B5" w:rsidP="00527473">
      <w:pPr>
        <w:spacing w:after="0"/>
        <w:rPr>
          <w:lang w:val="de-DE"/>
        </w:rPr>
      </w:pPr>
      <w:r>
        <w:rPr>
          <w:lang w:val="de-DE"/>
        </w:rPr>
        <w:t>•</w:t>
      </w:r>
      <w:r>
        <w:rPr>
          <w:lang w:val="de-DE"/>
        </w:rPr>
        <w:tab/>
        <w:t>Identifizierung, Analyse und Bewertung potenzieller Bedrohungen durch Terrorismus und gewalttätige Formen des Extremismus und zivilen Unruhen gegen die Interessen der Europäischen Kommission (Mitarbeiter, VIPs und Gebäude) an allen Tätigkeitsorten innerhalb der EU;</w:t>
      </w:r>
    </w:p>
    <w:p w14:paraId="6B679C67" w14:textId="77777777" w:rsidR="008776B5" w:rsidRDefault="008776B5" w:rsidP="00527473">
      <w:pPr>
        <w:spacing w:after="0"/>
        <w:rPr>
          <w:lang w:val="de-DE"/>
        </w:rPr>
      </w:pPr>
      <w:r>
        <w:rPr>
          <w:lang w:val="de-DE"/>
        </w:rPr>
        <w:t>•</w:t>
      </w:r>
      <w:r>
        <w:rPr>
          <w:lang w:val="de-DE"/>
        </w:rPr>
        <w:tab/>
        <w:t>Überwachung relevanter Quellen (einschließlich frei zugänglicher Quellen und sozialer Netzwerke) in Bezug auf oben genannter Bedrohungsfaktoren.</w:t>
      </w:r>
    </w:p>
    <w:p w14:paraId="44F1044C" w14:textId="77777777" w:rsidR="008776B5" w:rsidRDefault="008776B5" w:rsidP="00527473">
      <w:pPr>
        <w:spacing w:after="0"/>
        <w:rPr>
          <w:lang w:val="de-DE"/>
        </w:rPr>
      </w:pPr>
      <w:r>
        <w:rPr>
          <w:lang w:val="de-DE"/>
        </w:rPr>
        <w:t>•</w:t>
      </w:r>
      <w:r>
        <w:rPr>
          <w:lang w:val="de-DE"/>
        </w:rPr>
        <w:tab/>
        <w:t>Erstellung von Sicherheitsempfehlungen für Kommissionsbedienstete und Kommissare, die zu Kurzzeitmissionen in Drittländer reisen, sowie Beratung zur Minderung der festgestellten Bedrohungen;</w:t>
      </w:r>
    </w:p>
    <w:p w14:paraId="1755CF88" w14:textId="77777777" w:rsidR="008776B5" w:rsidRDefault="008776B5" w:rsidP="00527473">
      <w:pPr>
        <w:spacing w:after="0"/>
        <w:rPr>
          <w:lang w:val="de-DE"/>
        </w:rPr>
      </w:pPr>
      <w:r>
        <w:rPr>
          <w:lang w:val="de-DE"/>
        </w:rPr>
        <w:t>•</w:t>
      </w:r>
      <w:r>
        <w:rPr>
          <w:lang w:val="de-DE"/>
        </w:rPr>
        <w:tab/>
        <w:t>Erstellung von Ad-hoc-Berichten über Sicherheitsvorfälle;</w:t>
      </w:r>
    </w:p>
    <w:p w14:paraId="7F3D59AA" w14:textId="77777777" w:rsidR="008776B5" w:rsidRDefault="008776B5" w:rsidP="00527473">
      <w:pPr>
        <w:spacing w:after="0"/>
        <w:rPr>
          <w:lang w:val="de-DE"/>
        </w:rPr>
      </w:pPr>
      <w:r>
        <w:rPr>
          <w:lang w:val="de-DE"/>
        </w:rPr>
        <w:t>•</w:t>
      </w:r>
      <w:r>
        <w:rPr>
          <w:lang w:val="de-DE"/>
        </w:rPr>
        <w:tab/>
        <w:t>Erstellung von Bedrohungsanalysen für Gebäude der Kommission;</w:t>
      </w:r>
    </w:p>
    <w:p w14:paraId="444C2A9D" w14:textId="77777777" w:rsidR="008776B5" w:rsidRDefault="008776B5" w:rsidP="00527473">
      <w:pPr>
        <w:spacing w:after="0"/>
        <w:rPr>
          <w:lang w:val="de-DE"/>
        </w:rPr>
      </w:pPr>
      <w:r>
        <w:rPr>
          <w:lang w:val="de-DE"/>
        </w:rPr>
        <w:t>•</w:t>
      </w:r>
      <w:r>
        <w:rPr>
          <w:lang w:val="de-DE"/>
        </w:rPr>
        <w:tab/>
        <w:t>Mitwirkung an Berichten und Briefings des Sektors;</w:t>
      </w:r>
    </w:p>
    <w:p w14:paraId="0FAD8EF4" w14:textId="77777777" w:rsidR="008776B5" w:rsidRDefault="008776B5" w:rsidP="00527473">
      <w:pPr>
        <w:spacing w:after="0"/>
        <w:rPr>
          <w:lang w:val="de-DE"/>
        </w:rPr>
      </w:pPr>
      <w:r>
        <w:rPr>
          <w:lang w:val="de-DE"/>
        </w:rPr>
        <w:t>•</w:t>
      </w:r>
      <w:r>
        <w:rPr>
          <w:lang w:val="de-DE"/>
        </w:rPr>
        <w:tab/>
        <w:t>Vertretung des Sektors in einschlägigen Ausschüssen und Arbeitsgruppensitzungen;</w:t>
      </w:r>
    </w:p>
    <w:p w14:paraId="7FD81ACA" w14:textId="77777777" w:rsidR="008776B5" w:rsidRDefault="008776B5" w:rsidP="00527473">
      <w:pPr>
        <w:spacing w:after="0"/>
        <w:rPr>
          <w:lang w:val="de-DE"/>
        </w:rPr>
      </w:pPr>
      <w:r>
        <w:rPr>
          <w:lang w:val="de-DE"/>
        </w:rPr>
        <w:t>•</w:t>
      </w:r>
      <w:r>
        <w:rPr>
          <w:lang w:val="de-DE"/>
        </w:rPr>
        <w:tab/>
        <w:t>Pflege und Weiterentwicklung operativer Beziehungen sowie regelmäßige Gespräche mit einschlägigen Diensten der Mitgliedstaaten und anderer Organe/Einrichtungen der EU und internationaler Organisationen, insbesondere im Bereich der Terrorismusbekämpfung.</w:t>
      </w:r>
    </w:p>
    <w:p w14:paraId="64D72A45" w14:textId="77777777" w:rsidR="008776B5" w:rsidRDefault="008776B5" w:rsidP="00527473">
      <w:pPr>
        <w:spacing w:after="0"/>
        <w:rPr>
          <w:lang w:val="de-DE"/>
        </w:rPr>
      </w:pPr>
      <w:r>
        <w:rPr>
          <w:lang w:val="de-DE"/>
        </w:rPr>
        <w:t>•</w:t>
      </w:r>
      <w:r>
        <w:rPr>
          <w:lang w:val="de-DE"/>
        </w:rPr>
        <w:tab/>
        <w:t>Zu den Aufgaben können zudem die Durchführung von Sicherheitsermittlungen im Bereich der Terrorismus- und Extremismusbekämpfung in Bezug auf die Interessen der Europäischen Kommission (Mitarbeiter und Einrichtungen) in Zusammenarbeit mit den Dienststellen der Mitgliedstaaten gehören.</w:t>
      </w:r>
    </w:p>
    <w:p w14:paraId="2BE34DBA" w14:textId="3881C108"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4D3B32D" w14:textId="77777777" w:rsidR="008776B5" w:rsidRDefault="008776B5" w:rsidP="00527473">
      <w:pPr>
        <w:spacing w:after="0"/>
        <w:rPr>
          <w:lang w:val="en-US"/>
        </w:rPr>
      </w:pPr>
      <w:r>
        <w:rPr>
          <w:lang w:val="en-US"/>
        </w:rPr>
        <w:t>Wir sind ein freundliches und dynamisches Team und suchen motivierte, pragmatische, teamorientierte, diskrete und professionelle Kollegen mit ausgeprägtem Verantwortungsbewusstsein. Bewerber/innen sollten über solide Kenntnisse und/oder Erfahrungen in der operativen Analyse im Bereich der Terrorismus- und Extremismusbekämpfung sowie in der Bewertung von Sicherheitsbedrohungen verfügen. Erfahrungen in der Durchführung von Ermittlungen oder in der Bearbeitung von Drohmitteilungen von Einzelpersonen sind von Vorteil.</w:t>
      </w:r>
    </w:p>
    <w:p w14:paraId="486EB644" w14:textId="77777777" w:rsidR="008776B5" w:rsidRDefault="008776B5" w:rsidP="00527473">
      <w:pPr>
        <w:spacing w:after="0"/>
        <w:rPr>
          <w:lang w:val="en-US"/>
        </w:rPr>
      </w:pPr>
      <w:r>
        <w:rPr>
          <w:lang w:val="en-US"/>
        </w:rPr>
        <w:t>Die Stelle erfordert ausgeprägte analytische Fähigkeiten, die Fähigkeit, strukturiert zu arbeiten, einen soliden methodischen und verfahrenstechnischen Ansatz sowie ein gutes Urteilsvermögen. Ausgezeichnete Kommunikationsfähigkeiten sowie die Fähigkeit, klar, präzise und prägnant zu schreiben, sind erforderlich. Der/die ausgewählte Bewerber/in ist belastbar und kann unter Druck arbeiten. Er/sie sollte eine positive Einstellung besitzen und ergebnisorientiert, aufgeschlossen und flexibel sein sowie über gute organisatorische Fähigkeiten und die Fähigkeit, Prioritäten zu setzen, verfügen.</w:t>
      </w:r>
    </w:p>
    <w:p w14:paraId="423C2E66" w14:textId="77777777" w:rsidR="008776B5" w:rsidRDefault="008776B5" w:rsidP="00527473">
      <w:pPr>
        <w:spacing w:after="0"/>
        <w:rPr>
          <w:lang w:val="en-US"/>
        </w:rPr>
      </w:pPr>
      <w:r>
        <w:rPr>
          <w:lang w:val="en-US"/>
        </w:rPr>
        <w:t>Die Hauptarbeitssprache des Sektors ist Englisch, das sowohl in schriftlicher Form (z.B. Notizen und Berichte) als auch in mündlicher Form (z.B. Sitzungen und Präsentationen vor kleinem oder großem Publikum) beherrscht werden muss. Gute Französischkenntnisse werden als Vorteil angesehen.</w:t>
      </w:r>
    </w:p>
    <w:p w14:paraId="23367797" w14:textId="77777777" w:rsidR="008776B5" w:rsidRDefault="008776B5" w:rsidP="00527473">
      <w:pPr>
        <w:spacing w:after="0"/>
        <w:rPr>
          <w:lang w:val="en-US"/>
        </w:rPr>
      </w:pPr>
      <w:r>
        <w:rPr>
          <w:lang w:val="en-US"/>
        </w:rPr>
        <w:t>Die Bewerberin/der Bewerber muss entweder über eine gültige Sicherheitsüberprüfung bis zum Grad "SECRET UE/EU SECRET" verfügen oder bereit sein, sich dem nationalen Sicherheitsüberprüfungsverfahren zu unterziehen, um ihre/seine Tätigkeit ausüben zu dürfen.</w:t>
      </w:r>
    </w:p>
    <w:p w14:paraId="7DFF067A" w14:textId="64EE40BD"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8776B5"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8776B5"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8776B5"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8776B5"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8776B5"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8776B5"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8776B5"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8776B5"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8776B5"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8776B5"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776B5"/>
    <w:rsid w:val="008D1AA0"/>
    <w:rsid w:val="0092356E"/>
    <w:rsid w:val="00927E8E"/>
    <w:rsid w:val="0095315F"/>
    <w:rsid w:val="009726C6"/>
    <w:rsid w:val="009D6A62"/>
    <w:rsid w:val="00A10C67"/>
    <w:rsid w:val="00A21C60"/>
    <w:rsid w:val="00A2704A"/>
    <w:rsid w:val="00A32261"/>
    <w:rsid w:val="00A34654"/>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5FC516-DA3A-4570-9EE4-60FA56D3AC2D}"/>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4134</Words>
  <Characters>23568</Characters>
  <Application>Microsoft Office Word</Application>
  <DocSecurity>4</DocSecurity>
  <PresentationFormat>Microsoft Word 14.0</PresentationFormat>
  <Lines>196</Lines>
  <Paragraphs>55</Paragraphs>
  <ScaleCrop>true</ScaleCrop>
  <Company/>
  <LinksUpToDate>false</LinksUpToDate>
  <CharactersWithSpaces>27647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2026-04-14T12:53:00Z</dcterms:created>
  <dcterms:modified xsi:type="dcterms:W3CDTF">2026-04-14T12:53:00Z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