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C42C18" w14:paraId="73E9441F" w14:textId="06A21E64">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C42C18"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67C5C01A"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C42C18" w14:paraId="16E99962" w14:textId="629237B9">
            <w:pPr>
              <w:spacing w:after="0"/>
              <w:jc w:val="left"/>
            </w:pPr>
            <w:r>
              <w:t>RTD.A.4</w:t>
            </w:r>
          </w:p>
        </w:tc>
      </w:tr>
      <w:tr w:rsidR="006938F5" w:rsidTr="67C5C01A"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C42C18" w14:paraId="54D41098" w14:textId="617E9794">
            <w:pPr>
              <w:spacing w:after="0"/>
              <w:jc w:val="left"/>
            </w:pPr>
            <w:r>
              <w:t>299000</w:t>
            </w:r>
          </w:p>
        </w:tc>
      </w:tr>
      <w:tr w:rsidR="14270372" w:rsidTr="67C5C01A"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C42C18" w14:paraId="1797EDF2" w14:textId="56D24E71">
            <w:pPr>
              <w:spacing w:after="0"/>
              <w:jc w:val="left"/>
            </w:pPr>
            <w:r>
              <w:t>Q2 2026</w:t>
            </w:r>
          </w:p>
        </w:tc>
      </w:tr>
      <w:tr w:rsidR="006938F5" w:rsidTr="67C5C01A"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C42C18" w14:paraId="4528AB07" w14:textId="03E9C589">
            <w:pPr>
              <w:spacing w:after="0"/>
              <w:jc w:val="left"/>
            </w:pPr>
            <w:r>
              <w:t>24</w:t>
            </w:r>
          </w:p>
        </w:tc>
      </w:tr>
      <w:tr w:rsidR="14270372" w:rsidTr="67C5C01A"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C42C18" w14:paraId="4E935B99" w14:textId="087A237A">
            <w:pPr>
              <w:spacing w:after="0"/>
              <w:jc w:val="left"/>
            </w:pPr>
            <w:r>
              <w:t>Brussels</w:t>
            </w:r>
          </w:p>
          <w:p w:rsidR="3C2D33B5" w:rsidP="14270372" w:rsidRDefault="00C42C18" w14:paraId="6B7C1AA9" w14:textId="2FBC9EDA">
            <w:pPr>
              <w:spacing w:after="0"/>
              <w:jc w:val="left"/>
            </w:pPr>
            <w:r>
              <w:t>Bruxelles</w:t>
            </w:r>
          </w:p>
          <w:p w:rsidR="3C2D33B5" w:rsidP="14270372" w:rsidRDefault="00C42C18" w14:paraId="5C918E8F" w14:textId="5A8C4482">
            <w:pPr>
              <w:spacing w:after="0"/>
              <w:jc w:val="left"/>
            </w:pPr>
            <w:r>
              <w:t>Brüssel</w:t>
            </w:r>
          </w:p>
        </w:tc>
      </w:tr>
      <w:tr w:rsidR="006938F5" w:rsidTr="67C5C01A"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C42C18" w14:paraId="1AFC5732" w14:textId="7FD2891F">
            <w:pPr>
              <w:spacing w:after="0"/>
              <w:jc w:val="left"/>
            </w:pPr>
            <w:r>
              <w:t>With allowances</w:t>
            </w:r>
          </w:p>
          <w:p w:rsidR="006938F5" w:rsidP="006718D3" w:rsidRDefault="00C42C18" w14:paraId="02E31856" w14:textId="277F034B">
            <w:pPr>
              <w:spacing w:after="0"/>
              <w:jc w:val="left"/>
            </w:pPr>
            <w:r>
              <w:t>Avec indemnités</w:t>
            </w:r>
          </w:p>
          <w:p w:rsidR="006938F5" w:rsidP="006718D3" w:rsidRDefault="00C42C18" w14:paraId="720FD450" w14:textId="09E32269">
            <w:pPr>
              <w:spacing w:after="0"/>
              <w:jc w:val="left"/>
            </w:pPr>
            <w:r>
              <w:t>Mit Vergütung</w:t>
            </w:r>
          </w:p>
        </w:tc>
      </w:tr>
      <w:tr w:rsidR="006938F5" w:rsidTr="67C5C01A"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006718D3" w:rsidRDefault="00C42C18" w14:paraId="1EB17035" w14:textId="4E479588">
            <w:pPr>
              <w:spacing w:after="0"/>
              <w:jc w:val="left"/>
            </w:pPr>
            <w:r w:rsidR="00C42C18">
              <w:rPr/>
              <w:t xml:space="preserve">Member States + EFTA countries (Iceland </w:t>
            </w:r>
            <w:r w:rsidR="5C277242">
              <w:rPr/>
              <w:t xml:space="preserve">+ </w:t>
            </w:r>
            <w:r w:rsidR="00C42C18">
              <w:rPr/>
              <w:t>Norway)</w:t>
            </w:r>
          </w:p>
          <w:p w:rsidR="006938F5" w:rsidP="006718D3" w:rsidRDefault="00C42C18" w14:paraId="2A7DF233" w14:textId="414D0D21">
            <w:pPr>
              <w:spacing w:after="0"/>
              <w:jc w:val="left"/>
            </w:pPr>
            <w:r w:rsidR="00C42C18">
              <w:rPr/>
              <w:t xml:space="preserve">États </w:t>
            </w:r>
            <w:r w:rsidR="00C42C18">
              <w:rPr/>
              <w:t>membres</w:t>
            </w:r>
            <w:r w:rsidR="00C42C18">
              <w:rPr/>
              <w:t xml:space="preserve"> + pays AELE (Islande </w:t>
            </w:r>
            <w:r w:rsidR="3E1E20C8">
              <w:rPr/>
              <w:t>+</w:t>
            </w:r>
            <w:r w:rsidR="00C42C18">
              <w:rPr/>
              <w:t xml:space="preserve"> </w:t>
            </w:r>
            <w:r w:rsidR="00C42C18">
              <w:rPr/>
              <w:t>Norvège</w:t>
            </w:r>
            <w:r w:rsidR="00C42C18">
              <w:rPr/>
              <w:t>)</w:t>
            </w:r>
          </w:p>
          <w:p w:rsidR="006938F5" w:rsidP="006718D3" w:rsidRDefault="00C42C18" w14:paraId="13C75E2E" w14:textId="3468A35B">
            <w:pPr>
              <w:spacing w:after="0"/>
              <w:jc w:val="left"/>
            </w:pPr>
            <w:r w:rsidR="00C42C18">
              <w:rPr/>
              <w:t>Mitgliedstaaten</w:t>
            </w:r>
            <w:r w:rsidR="00C42C18">
              <w:rPr/>
              <w:t xml:space="preserve"> + EFTA-Länder (Island</w:t>
            </w:r>
            <w:r w:rsidR="1320D766">
              <w:rPr/>
              <w:t xml:space="preserve"> +</w:t>
            </w:r>
            <w:r w:rsidR="00C42C18">
              <w:rPr/>
              <w:t xml:space="preserve"> </w:t>
            </w:r>
            <w:r w:rsidR="00C42C18">
              <w:rPr/>
              <w:t>Norwegen</w:t>
            </w:r>
            <w:r w:rsidR="00C42C18">
              <w:rPr/>
              <w:t>)</w:t>
            </w:r>
          </w:p>
        </w:tc>
      </w:tr>
      <w:tr w:rsidR="006938F5" w:rsidTr="67C5C01A"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C42C18" w14:paraId="50820CBA" w14:textId="5D42D326">
            <w:pPr>
              <w:spacing w:after="0"/>
              <w:jc w:val="left"/>
            </w:pPr>
            <w:r>
              <w:t>27/01/2026</w:t>
            </w:r>
          </w:p>
        </w:tc>
      </w:tr>
      <w:tr w:rsidRPr="00A10C67" w:rsidR="003D0078" w:rsidTr="67C5C01A"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C42C18" w14:paraId="5AF5E061" w14:textId="575ED49C">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C42C18" w:rsidP="003C1977" w:rsidRDefault="00C42C18" w14:paraId="04B9AE98" w14:textId="77777777">
      <w:pPr>
        <w:spacing w:after="0"/>
      </w:pPr>
      <w:r>
        <w:t xml:space="preserve">The Open Science and Research Infrastructures unit develops, implements and monitors the policies, initiatives and structures needed to open up European science and research to make them more efficient and productive, seamless, transparent and robust as well as responsive to policy and society's needs and expectations. The unit also develops and implements the European policy on research infrastructures to increase their openness, accessibility, integration, efficiency and effectiveness. </w:t>
      </w:r>
    </w:p>
    <w:p w:rsidR="00C42C18" w:rsidP="003C1977" w:rsidRDefault="00C42C18" w14:paraId="7372D833" w14:textId="77777777">
      <w:pPr>
        <w:spacing w:after="0"/>
      </w:pPr>
      <w:r>
        <w:t>More specifically, the unit leads the definition and implementation of EU policy in the following areas: incentives for practicing open science, open access to research outputs, research output management and sharing, research-specific regulatory provisions, European ecosystem of research infrastructures, open research infrastructures, and societal engagement in science.</w:t>
      </w:r>
    </w:p>
    <w:p w:rsidR="00C42C18" w:rsidP="003C1977" w:rsidRDefault="00C42C18" w14:paraId="0F07B095" w14:textId="77777777">
      <w:pPr>
        <w:spacing w:after="0"/>
      </w:pPr>
      <w:r>
        <w:t>The unit operates in the context of the ‘ERA (European Research Area) and Innovation’ Directorate that develops policy to shape a globally competitive and excellent EU research and innovation system that is open, performant and cohesive and that is conducive to transformative and systemic innovation for a sustainable future.</w:t>
      </w:r>
    </w:p>
    <w:p w:rsidR="00A95A44" w:rsidP="003C1977" w:rsidRDefault="00C42C18" w14:paraId="2444BC8A" w14:textId="16D6DE3A">
      <w:pPr>
        <w:spacing w:after="0"/>
      </w:pPr>
      <w:r>
        <w:t>The unit leads the implementation of the European Open Science Cloud, EOSC, in collaboration with DG CNECT. The EOSC aims to develop a trusted, open environment for the scientific community to store, share, find and re-use FAIR scientific data, tools and services across borders and communities. EOSC builds on existing infrastructure and services supported by the EC, Member States and research communities. It brings these together in a federated ‘system of systems’ approach. Europe is the largest producer of scientific data in the world but remains affected by fragmentation of the research infrastructure landscape and limited FAIR data sharing and management. The EOSC is recognised as a priority action of the policy agenda of the European Research Area (ERA) with the specific objective to deepen open science practices in Europe. It is also recognised as the “science, research and innovation data space” which will be fully articulated with the other sectoral data spaces defined in the European Data Strategy.</w:t>
      </w: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C42C18" w:rsidP="003C1977" w:rsidRDefault="00C42C18" w14:paraId="1D365CA6" w14:textId="77777777">
      <w:pPr>
        <w:spacing w:after="0"/>
      </w:pPr>
      <w:r>
        <w:t xml:space="preserve">The unit is building up its capacity and expertise with regard to the implementation of the EOSC and the development of a web of FAIR data and services for science. It is in this context that the unit is advertising a new position as Seconded National Expert: “Policy Officer - European Open Science Cloud and FAIR data services”. Under the supervision of an AD staff member, the expert will support aspects of the implementation of the EOSC, notably including (a) the EOSC governance structure, (b) the development of a web of FAIR data and services for science, (c) sustainability models for the EOSC policy initiative and federation, and (d) international collaboration on open science policy. This involves: </w:t>
      </w:r>
    </w:p>
    <w:p w:rsidR="00C42C18" w:rsidP="003C1977" w:rsidRDefault="00C42C18" w14:paraId="04064B36" w14:textId="77777777">
      <w:pPr>
        <w:spacing w:after="0"/>
      </w:pPr>
      <w:r>
        <w:t>i.</w:t>
      </w:r>
      <w:r>
        <w:tab/>
      </w:r>
      <w:r>
        <w:t>Supporting the running of the EOSC governance, in particular the EOSC Tripartite Governance and the EOSC Partnership Board;</w:t>
      </w:r>
    </w:p>
    <w:p w:rsidR="00C42C18" w:rsidP="003C1977" w:rsidRDefault="00C42C18" w14:paraId="49949D76" w14:textId="77777777">
      <w:pPr>
        <w:spacing w:after="0"/>
      </w:pPr>
      <w:r>
        <w:t>ii.</w:t>
      </w:r>
      <w:r>
        <w:tab/>
      </w:r>
      <w:r>
        <w:t>Contributing to the work of dedicated expert groups on specific EOSC topics, notably around FAIR data and services, as well as specific thematic science/research communities;</w:t>
      </w:r>
    </w:p>
    <w:p w:rsidR="00C42C18" w:rsidP="003C1977" w:rsidRDefault="00C42C18" w14:paraId="32B4F3CC" w14:textId="77777777">
      <w:pPr>
        <w:spacing w:after="0"/>
      </w:pPr>
      <w:r>
        <w:t>iii.</w:t>
      </w:r>
      <w:r>
        <w:tab/>
      </w:r>
      <w:r>
        <w:t>Gathering intelligence, best practices and analysing relevant data and information in order to develop, support, and implement the EOSC as a policy initiative and an enabler of open science and open innovation policies;</w:t>
      </w:r>
    </w:p>
    <w:p w:rsidR="00C42C18" w:rsidP="003C1977" w:rsidRDefault="00C42C18" w14:paraId="0D99F6FC" w14:textId="77777777">
      <w:pPr>
        <w:spacing w:after="0"/>
      </w:pPr>
      <w:r>
        <w:t>iv.</w:t>
      </w:r>
      <w:r>
        <w:tab/>
      </w:r>
      <w:r>
        <w:t>Supporting collaborations on open science policies and initiatives in the international context, such as in the framework of UNESCO, RDA, or G7;</w:t>
      </w:r>
    </w:p>
    <w:p w:rsidR="00C42C18" w:rsidP="003C1977" w:rsidRDefault="00C42C18" w14:paraId="5DBAEB45" w14:textId="77777777">
      <w:pPr>
        <w:spacing w:after="0"/>
      </w:pPr>
      <w:r>
        <w:t>v.</w:t>
      </w:r>
      <w:r>
        <w:tab/>
      </w:r>
      <w:r>
        <w:t>Launching studies and consultations, analysing and disseminating their results in the context of EU policy;</w:t>
      </w:r>
    </w:p>
    <w:p w:rsidR="00A95A44" w:rsidP="003C1977" w:rsidRDefault="00C42C18" w14:paraId="4FA38409" w14:textId="5410FA02">
      <w:pPr>
        <w:spacing w:after="0"/>
      </w:pPr>
      <w:r>
        <w:t>vi.</w:t>
      </w:r>
      <w:r>
        <w:tab/>
      </w:r>
      <w:r>
        <w:t>Participating in internal and external communication activities, such as but not limited to EOSC tripartite events, conferences, and newsletters</w:t>
      </w: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C42C18" w:rsidP="00527473" w:rsidRDefault="00C42C18" w14:paraId="65A06DF9" w14:textId="77777777">
      <w:pPr>
        <w:spacing w:after="0"/>
        <w:jc w:val="left"/>
      </w:pPr>
      <w:r>
        <w:t xml:space="preserve">A highly motivated and dynamic colleague capable of providing effective contributions to European research and innovation policy. The colleague should have knowledge of and/or experience with science &amp; technology and/or research &amp; innovation policy and/or programmes. </w:t>
      </w:r>
    </w:p>
    <w:p w:rsidR="00A95A44" w:rsidP="00527473" w:rsidRDefault="00C42C18" w14:paraId="0DE8C532" w14:textId="7E8B9A4D">
      <w:pPr>
        <w:spacing w:after="0"/>
        <w:jc w:val="left"/>
      </w:pPr>
      <w:r>
        <w:t>Among other abilities, she/he should have good analytical and problem-solving skills, with attention to detail, as well as good writing, communication and organisational skills. She/he should be able to handle tasks autonomously and in collaboration with team members and interact constructively with other services as well as with external stakeholders. She/he should have a very good command of English.</w:t>
      </w: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C42C18" w14:paraId="2551067D" w14:textId="231F93C2">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C42C18" w:rsidP="00527473" w:rsidRDefault="00C42C18" w14:paraId="4BA33023" w14:textId="77777777">
      <w:pPr>
        <w:spacing w:after="0"/>
        <w:rPr>
          <w:lang w:val="de-DE"/>
        </w:rPr>
      </w:pPr>
      <w:r>
        <w:rPr>
          <w:lang w:val="de-DE"/>
        </w:rPr>
        <w:t>L'unité « Science ouverte et infrastructures de recherche » élabore, met en œuvre et suit les politiques, initiatives et structures nécessaires à l'ouverture de la science et de la recherche européennes afin de les rendre plus efficaces et productives, plus fluides, plus transparentes et plus robustes, et plus réactives aux besoins et attentes des politiques et de la société. L'unité élabore et met également en œuvre la politique européenne relative aux infrastructures de recherche afin d'accroître leur ouverture, leur accessibilité, leur intégration, leur efficience et leur efficacité.</w:t>
      </w:r>
    </w:p>
    <w:p w:rsidR="00C42C18" w:rsidP="00527473" w:rsidRDefault="00C42C18" w14:paraId="37D4DCDD" w14:textId="77777777">
      <w:pPr>
        <w:spacing w:after="0"/>
        <w:rPr>
          <w:lang w:val="de-DE"/>
        </w:rPr>
      </w:pPr>
      <w:r>
        <w:rPr>
          <w:lang w:val="de-DE"/>
        </w:rPr>
        <w:t>Plus spécifiquement, l'unité dirige la définition et la mise en œuvre de la politique de l'UE dans les domaines suivants : incitations à la pratique de la science ouverte, accès ouvert aux résultats de la recherche, gestion et partage des résultats de la recherche, dispositions réglementaires spécifiques à la recherche, écosystème européen d'infrastructures de recherche, infrastructures de recherche ouvertes et engagement sociétal dans la science.</w:t>
      </w:r>
    </w:p>
    <w:p w:rsidR="00C42C18" w:rsidP="00527473" w:rsidRDefault="00C42C18" w14:paraId="611BC334" w14:textId="77777777">
      <w:pPr>
        <w:spacing w:after="0"/>
        <w:rPr>
          <w:lang w:val="de-DE"/>
        </w:rPr>
      </w:pPr>
      <w:r>
        <w:rPr>
          <w:lang w:val="de-DE"/>
        </w:rPr>
        <w:t>L'unité opère dans le cadre de la direction « EER (Espace européen de la recherche) et de l'innovation » qui élabore des politiques visant à façonner un système européen de recherche et d'innovation compétitif et excellent à l'échelle mondiale, ouvert, performant et cohérent, propice à une innovation transformatrice et systémique pour un avenir durable.</w:t>
      </w:r>
    </w:p>
    <w:p w:rsidRPr="00E61551" w:rsidR="00A95A44" w:rsidP="00527473" w:rsidRDefault="00C42C18" w14:paraId="6810D07E" w14:textId="5A074093">
      <w:pPr>
        <w:spacing w:after="0"/>
        <w:rPr>
          <w:lang w:val="de-DE"/>
        </w:rPr>
      </w:pPr>
      <w:r>
        <w:rPr>
          <w:lang w:val="de-DE"/>
        </w:rPr>
        <w:t>L'unité pilote la mise en œuvre du Cloud européen pour la science ouverte la mise en œuvre de l'EOSC, en collaboration avec la DG CNECT. L'EOSC vise à développer un environnement ouvert et de confiance permettant à la communauté scientifique de stocker, partager, trouver et réutiliser les données, les outils et les services scientifiques par-delà les frontières et les communautés. L'EOSC capitalise sur les infrastructures et les services existants soutenus par la Commission Européenne, les États membres de l’UE et les communautés de recherche. Il les rassemble dans une approche fédérée type « système de systèmes ». L'Europe est le plus grand producteur de données scientifiques au monde, mais reste affectée par la fragmentation du paysage des infrastructures de recherche et le partage et la gestion limités des données. L'EOSC est reconnu comme une action prioritaire de l'agenda politique de l'Espace Européen de la Recherche (ERA) avec l'objectif spécifique d'approfondir les pratiques de la science ouverte en Europe. Il est également reconnu comme "l'espace de données de la science, de la recherche et de l'innovation" qui sera pleinement articulé avec les autres espaces de données sectoriels définis dans la stratégie européenne des données.</w:t>
      </w: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C42C18" w:rsidP="00527473" w:rsidRDefault="00C42C18" w14:paraId="17A09930" w14:textId="77777777">
      <w:pPr>
        <w:spacing w:after="0"/>
        <w:jc w:val="left"/>
        <w:rPr>
          <w:lang w:val="de-DE"/>
        </w:rPr>
      </w:pPr>
      <w:r>
        <w:rPr>
          <w:lang w:val="de-DE"/>
        </w:rPr>
        <w:t xml:space="preserve">L'unité souhaite renforcer ses capacités et son expertise en matière de mise en œuvre de l'EOSC et de développement d'un réseau de données et de services FAIR pour la science. C'est dans ce contexte qu'elle annonce un nouveau poste d'expert national détaché : « Chargé(e) de mission - Cloud européen pour la science ouverte et services de données FAIR ». Sous la supervision d'un membre du personnel AD, l'expert(e) soutiendra certains aspects de la mise en œuvre de l'EOSC, notamment : a) la structure de </w:t>
      </w:r>
      <w:r>
        <w:rPr>
          <w:lang w:val="de-DE"/>
        </w:rPr>
        <w:t xml:space="preserve">gouvernance de l'EOSC ; b) le développement d'un réseau de données et de services FAIR pour la science ; c) les modèles de durabilité pour l'initiative politique et la fédération de l'EOSC ; et d) la collaboration internationale en matière de politique de science ouverte. Ceci implique les tâches suivantes: </w:t>
      </w:r>
    </w:p>
    <w:p w:rsidR="00C42C18" w:rsidP="00527473" w:rsidRDefault="00C42C18" w14:paraId="2B37AD35" w14:textId="77777777">
      <w:pPr>
        <w:spacing w:after="0"/>
        <w:jc w:val="left"/>
        <w:rPr>
          <w:lang w:val="de-DE"/>
        </w:rPr>
      </w:pPr>
      <w:r>
        <w:rPr>
          <w:lang w:val="de-DE"/>
        </w:rPr>
        <w:t>i.</w:t>
      </w:r>
      <w:r>
        <w:rPr>
          <w:lang w:val="de-DE"/>
        </w:rPr>
        <w:tab/>
      </w:r>
      <w:r>
        <w:rPr>
          <w:lang w:val="de-DE"/>
        </w:rPr>
        <w:t>Soutenir le fonctionnement de la gouvernance de l'EOSC, en particulier la gouvernance tripartite de l'EOSC et le conseil de partenariat de l'EOSC;</w:t>
      </w:r>
    </w:p>
    <w:p w:rsidR="00C42C18" w:rsidP="00527473" w:rsidRDefault="00C42C18" w14:paraId="25DA21A1" w14:textId="77777777">
      <w:pPr>
        <w:spacing w:after="0"/>
        <w:jc w:val="left"/>
        <w:rPr>
          <w:lang w:val="de-DE"/>
        </w:rPr>
      </w:pPr>
      <w:r>
        <w:rPr>
          <w:lang w:val="de-DE"/>
        </w:rPr>
        <w:t>ii.</w:t>
      </w:r>
      <w:r>
        <w:rPr>
          <w:lang w:val="de-DE"/>
        </w:rPr>
        <w:tab/>
      </w:r>
      <w:r>
        <w:rPr>
          <w:lang w:val="de-DE"/>
        </w:rPr>
        <w:t>Contribuer aux travaux de groupes d'experts dédiés à des sujets spécifiques de l'EOSC, notamment autour des données et services FAIR, ainsi qu'aux communautés scientifiques/de recherche thématiques spécifiques ;</w:t>
      </w:r>
    </w:p>
    <w:p w:rsidR="00C42C18" w:rsidP="00527473" w:rsidRDefault="00C42C18" w14:paraId="73441A5F" w14:textId="77777777">
      <w:pPr>
        <w:spacing w:after="0"/>
        <w:jc w:val="left"/>
        <w:rPr>
          <w:lang w:val="de-DE"/>
        </w:rPr>
      </w:pPr>
      <w:r>
        <w:rPr>
          <w:lang w:val="de-DE"/>
        </w:rPr>
        <w:t>iii.</w:t>
      </w:r>
      <w:r>
        <w:rPr>
          <w:lang w:val="de-DE"/>
        </w:rPr>
        <w:tab/>
      </w:r>
      <w:r>
        <w:rPr>
          <w:lang w:val="de-DE"/>
        </w:rPr>
        <w:t>Recueillir des renseignements, les meilleures pratiques et analyser les données et informations pertinentes afin de développer, soutenir et mettre en œuvre l'EOSC en tant qu'initiative politique et catalyseur de politiques de science ouverte et d'innovation ouverte;</w:t>
      </w:r>
    </w:p>
    <w:p w:rsidR="00C42C18" w:rsidP="00527473" w:rsidRDefault="00C42C18" w14:paraId="20469350" w14:textId="77777777">
      <w:pPr>
        <w:spacing w:after="0"/>
        <w:jc w:val="left"/>
        <w:rPr>
          <w:lang w:val="de-DE"/>
        </w:rPr>
      </w:pPr>
      <w:r>
        <w:rPr>
          <w:lang w:val="de-DE"/>
        </w:rPr>
        <w:t>iv.</w:t>
      </w:r>
      <w:r>
        <w:rPr>
          <w:lang w:val="de-DE"/>
        </w:rPr>
        <w:tab/>
      </w:r>
      <w:r>
        <w:rPr>
          <w:lang w:val="de-DE"/>
        </w:rPr>
        <w:t>Soutenir les collaborations sur les politiques et initiatives de science ouverte dans le contexte international, par exemple dans le cadre de l'UNESCO, de la RDA ou du G7;</w:t>
      </w:r>
    </w:p>
    <w:p w:rsidR="00C42C18" w:rsidP="00527473" w:rsidRDefault="00C42C18" w14:paraId="3F0F7970" w14:textId="77777777">
      <w:pPr>
        <w:spacing w:after="0"/>
        <w:jc w:val="left"/>
        <w:rPr>
          <w:lang w:val="de-DE"/>
        </w:rPr>
      </w:pPr>
      <w:r>
        <w:rPr>
          <w:lang w:val="de-DE"/>
        </w:rPr>
        <w:t>v.</w:t>
      </w:r>
      <w:r>
        <w:rPr>
          <w:lang w:val="de-DE"/>
        </w:rPr>
        <w:tab/>
      </w:r>
      <w:r>
        <w:rPr>
          <w:lang w:val="de-DE"/>
        </w:rPr>
        <w:t>Lancer des études et des consultations, analyser et diffuser leurs résultats dans le cadre de la politique de l'UE ;</w:t>
      </w:r>
    </w:p>
    <w:p w:rsidRPr="00E61551" w:rsidR="00A95A44" w:rsidP="00527473" w:rsidRDefault="00C42C18" w14:paraId="59404C02" w14:textId="12FE559D">
      <w:pPr>
        <w:spacing w:after="0"/>
        <w:jc w:val="left"/>
        <w:rPr>
          <w:lang w:val="de-DE"/>
        </w:rPr>
      </w:pPr>
      <w:r>
        <w:rPr>
          <w:lang w:val="de-DE"/>
        </w:rPr>
        <w:t>vi.</w:t>
      </w:r>
      <w:r>
        <w:rPr>
          <w:lang w:val="de-DE"/>
        </w:rPr>
        <w:tab/>
      </w:r>
      <w:r>
        <w:rPr>
          <w:lang w:val="de-DE"/>
        </w:rPr>
        <w:t>Participer, sous le mandat d'un fonctionnaire de la CE, à des activités de communication interne et externe, telles que, mais sans s'y limiter, aux événements tripartites, aux conférences et aux bulletins d'information de l'EOSC.</w:t>
      </w: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C42C18" w:rsidP="00527473" w:rsidRDefault="00C42C18" w14:paraId="29A7F7F7" w14:textId="77777777">
      <w:pPr>
        <w:spacing w:after="0"/>
        <w:rPr>
          <w:lang w:val="de-DE"/>
        </w:rPr>
      </w:pPr>
      <w:r>
        <w:rPr>
          <w:lang w:val="de-DE"/>
        </w:rPr>
        <w:t>Un/une collègue motivé(e) et dynamique, capable de contribuer efficacement à la politique européenne de recherche et d'innovation. Il/Elle devra posséder une connaissance et/ou une expérience des sciences et technologies, des politiques et/ou des programmes de recherche et d'innovation.</w:t>
      </w:r>
    </w:p>
    <w:p w:rsidRPr="00E61551" w:rsidR="00A95A44" w:rsidP="00527473" w:rsidRDefault="00C42C18" w14:paraId="7B92B82C" w14:textId="1A3EF43A">
      <w:pPr>
        <w:spacing w:after="0"/>
        <w:rPr>
          <w:lang w:val="de-DE"/>
        </w:rPr>
      </w:pPr>
      <w:r>
        <w:rPr>
          <w:lang w:val="de-DE"/>
        </w:rPr>
        <w:t>Il/Elle devra notamment posséder de bonnes capacités d'analyse et de résolution de problèmes, un sens du détail élevé, ainsi que de bonnes compétences rédactionnelles, de communication et d'organisation. Il/Elle devra être capable de gérer des tâches de manière autonome et en collaboration avec les membres de son équipe, et d'interagir de manière constructive avec les autres services et les parties prenantes externes. Il/Elle devra avoir une très bonne maîtrise de l'anglais.</w:t>
      </w: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C42C18" w14:paraId="21F5E2BF" w14:textId="41BBA6F6">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C42C18" w:rsidP="00527473" w:rsidRDefault="00C42C18" w14:paraId="5DF34D9D" w14:textId="77777777">
      <w:pPr>
        <w:spacing w:after="0"/>
        <w:rPr>
          <w:lang w:val="de-DE"/>
        </w:rPr>
      </w:pPr>
      <w:r>
        <w:rPr>
          <w:lang w:val="de-DE"/>
        </w:rPr>
        <w:t>Das Referat „Offene Wissenschafts- und Forschungsinfrastrukturen“ entwickelt, implementiert und überwacht die notwendigen Strategien, Initiativen und Strukturen für die Öffnung der europäischen Wissenschaft und Forschung, um diese effizienter, produktiver, nahtloser, transparenter und robuster zu gestalten und den Bedürfnissen und Erwartungen von Politik und Gesellschaft gerecht zu werden. Darüber hinaus entwickelt und implementiert die Abteilung die europäische Politik für Forschungsinfrastrukturen, um deren Offenheit, Zugänglichkeit, Integration, Effizienz und Effektivität zu erhöhen.</w:t>
      </w:r>
    </w:p>
    <w:p w:rsidR="00C42C18" w:rsidP="00527473" w:rsidRDefault="00C42C18" w14:paraId="526AEBFF" w14:textId="77777777">
      <w:pPr>
        <w:spacing w:after="0"/>
        <w:rPr>
          <w:lang w:val="de-DE"/>
        </w:rPr>
      </w:pPr>
      <w:r>
        <w:rPr>
          <w:lang w:val="de-DE"/>
        </w:rPr>
        <w:t>Das Referat ist insbesondere federführend bei der Definition und Umsetzung der EU-Politik in den folgenden Bereichen: Anreize für die Ausübung offener Wissenschaft, offener Zugang zu Forschungsergebnissen, Verwaltung und Weitergabe von Forschungsergebnissen, forschungsspezifische Regulierungsbestimmungen, europäisches Ökosystem von Forschungsinfrastrukturen, offene Forschungsinfrastrukturen und gesellschaftliches Engagement in der Wissenschaft.</w:t>
      </w:r>
    </w:p>
    <w:p w:rsidR="00C42C18" w:rsidP="00527473" w:rsidRDefault="00C42C18" w14:paraId="7CDC10A4" w14:textId="77777777">
      <w:pPr>
        <w:spacing w:after="0"/>
        <w:rPr>
          <w:lang w:val="de-DE"/>
        </w:rPr>
      </w:pPr>
      <w:r>
        <w:rPr>
          <w:lang w:val="de-DE"/>
        </w:rPr>
        <w:t>Das Referat arbeitet im Rahmen der Direktion „EFR (Europäischer Forschungsraum) und Innovation“, die Strategien zur Gestaltung eines weltweit wettbewerbsfähigen und exzellenten Forschungs- und Innovationssystems der EU entwickelt, das offen, leistungsfähig und verbunden ist und transformative und systemische Innovationen für eine nachhaltige Zukunft fördert.</w:t>
      </w:r>
    </w:p>
    <w:p w:rsidR="00A95A44" w:rsidP="00527473" w:rsidRDefault="00C42C18" w14:paraId="2B6785AE" w14:textId="599B699D">
      <w:pPr>
        <w:spacing w:after="0"/>
        <w:rPr>
          <w:lang w:val="de-DE"/>
        </w:rPr>
      </w:pPr>
      <w:r>
        <w:rPr>
          <w:lang w:val="de-DE"/>
        </w:rPr>
        <w:t>Das Referat leitet die Implementierung der European Open Science Cloud, EOSC, in Zusammenarbeit mit der GD CNECT. EOSC zielt darauf ab, eine vertrauenswürdige, offene Umgebung für die wissenschaftliche Gemeinschaft zu entwickeln, um FAIR-wissenschaftliche Daten, Werkzeuge und Dienste über Grenzen und Gemeinschaften hinweg zu speichern, zu teilen, zu finden und wiederzuverwenden. EOSC baut auf bestehenden Infrastrukturen und Diensten auf, die von der Europäischen Kommission, den Mitgliedstaaten und Forschungsgemeinschaften unterstützt werden. Es bringt diese in einem föderierten „System of Systems“-Ansatz zusammen. Europa ist der weltweit größte Produzent wissenschaftlicher Daten, bleibt jedoch von der Fragmentierung der Forschungsinfrastrukturlandschaft und der begrenzten gemeinsamen Nutzung und Verwaltung von FAIR-Daten betroffen. Die EOSC wird als vorrangige Aktion der politischen Agenda des Europäischen Forschungsraums (ERA) mit dem spezifischen Ziel anerkannt, Open-Science-Praktiken in Europa zu vertiefen. Es wird auch als „Datenraum für Wissenschaft, Forschung und Innovation“ anerkannt, der vollständig mit den anderen in der Europäischen Datenstrategie definierten sektoralen Datenräumen artikuliert wird.</w:t>
      </w: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C42C18" w:rsidP="00527473" w:rsidRDefault="00C42C18" w14:paraId="4E3BEC12" w14:textId="77777777">
      <w:pPr>
        <w:spacing w:after="0"/>
        <w:rPr>
          <w:lang w:val="de-DE"/>
        </w:rPr>
      </w:pPr>
      <w:r>
        <w:rPr>
          <w:lang w:val="de-DE"/>
        </w:rPr>
        <w:t>Das Referat baut seine Kapazitäten und Expertise im Hinblick auf die Umsetzung der EOSC und die Entwicklung eines FAIR-Daten- und -Dienstnetzes für die Wissenschaft aus. In diesem Zusammenhang schreibt die Einheit eine neue Stelle als abgeordneter nationaler Experte aus: „Policy Officer – European Open Science Cloud und FAIR-Datendienste“. Unter der Aufsicht eines AD-Mitarbeiters wird der Experte Aspekte der Umsetzung der EOSC unterstützen, insbesondere (a) die EOSC-Governance-Struktur, (b) die Entwicklung eines FAIR-Daten- und -Dienstnetzes für die Wissenschaft, (c) Nachhaltigkeitsmodelle für die EOSC-Politikinitiative und -Föderation sowie (d) die internationale Zusammenarbeit im Bereich der Open-Science-Politik. Dies beinhaltet:</w:t>
      </w:r>
    </w:p>
    <w:p w:rsidR="00C42C18" w:rsidP="00527473" w:rsidRDefault="00C42C18" w14:paraId="1BEE3BBB" w14:textId="77777777">
      <w:pPr>
        <w:spacing w:after="0"/>
        <w:rPr>
          <w:lang w:val="de-DE"/>
        </w:rPr>
      </w:pPr>
      <w:r>
        <w:rPr>
          <w:lang w:val="de-DE"/>
        </w:rPr>
        <w:t>i.</w:t>
      </w:r>
      <w:r>
        <w:rPr>
          <w:lang w:val="de-DE"/>
        </w:rPr>
        <w:tab/>
      </w:r>
      <w:r>
        <w:rPr>
          <w:lang w:val="de-DE"/>
        </w:rPr>
        <w:t>Unterstützung der Leitung der EOSC-Governance, insbesondere der dreigliedrigen EOSC-Governance und des EOSC-Partnerschaftsrats;</w:t>
      </w:r>
    </w:p>
    <w:p w:rsidR="00C42C18" w:rsidP="00527473" w:rsidRDefault="00C42C18" w14:paraId="53073509" w14:textId="77777777">
      <w:pPr>
        <w:spacing w:after="0"/>
        <w:rPr>
          <w:lang w:val="de-DE"/>
        </w:rPr>
      </w:pPr>
      <w:r>
        <w:rPr>
          <w:lang w:val="de-DE"/>
        </w:rPr>
        <w:t>ii.</w:t>
      </w:r>
      <w:r>
        <w:rPr>
          <w:lang w:val="de-DE"/>
        </w:rPr>
        <w:tab/>
      </w:r>
      <w:r>
        <w:rPr>
          <w:lang w:val="de-DE"/>
        </w:rPr>
        <w:t>Mitarbeit in spezialisierten Expertengruppen zu spezifischen EOSC-Themen, insbesondere zu FAIR-Daten und -Diensten, sowie in spezifischen thematischen Wissenschafts-/Forschungsgemeinschaften;</w:t>
      </w:r>
    </w:p>
    <w:p w:rsidR="00C42C18" w:rsidP="00527473" w:rsidRDefault="00C42C18" w14:paraId="05C65169" w14:textId="77777777">
      <w:pPr>
        <w:spacing w:after="0"/>
        <w:rPr>
          <w:lang w:val="de-DE"/>
        </w:rPr>
      </w:pPr>
      <w:r>
        <w:rPr>
          <w:lang w:val="de-DE"/>
        </w:rPr>
        <w:t>iii.</w:t>
      </w:r>
      <w:r>
        <w:rPr>
          <w:lang w:val="de-DE"/>
        </w:rPr>
        <w:tab/>
      </w:r>
      <w:r>
        <w:rPr>
          <w:lang w:val="de-DE"/>
        </w:rPr>
        <w:t>Sammeln von Erkenntnissen, ‚Best Practices‘ und Analysieren relevanter Daten und Informationen, um EOSC als politische Initiative und Wegbereiter für offene Wissenschaft und offene Innovationspolitik zu entwickeln, zu unterstützen und umzusetzen;</w:t>
      </w:r>
    </w:p>
    <w:p w:rsidR="00C42C18" w:rsidP="00527473" w:rsidRDefault="00C42C18" w14:paraId="0C7028B7" w14:textId="77777777">
      <w:pPr>
        <w:spacing w:after="0"/>
        <w:rPr>
          <w:lang w:val="de-DE"/>
        </w:rPr>
      </w:pPr>
      <w:r>
        <w:rPr>
          <w:lang w:val="de-DE"/>
        </w:rPr>
        <w:t>iv.</w:t>
      </w:r>
      <w:r>
        <w:rPr>
          <w:lang w:val="de-DE"/>
        </w:rPr>
        <w:tab/>
      </w:r>
      <w:r>
        <w:rPr>
          <w:lang w:val="de-DE"/>
        </w:rPr>
        <w:t>Unterstützung der Zusammenarbeit bei Open-Science-Politiken und -Initiativen im internationalen Kontext, beispielsweise im Rahmen der UNESCO, der RDA oder der G7;</w:t>
      </w:r>
    </w:p>
    <w:p w:rsidR="00C42C18" w:rsidP="00527473" w:rsidRDefault="00C42C18" w14:paraId="3FD1F716" w14:textId="77777777">
      <w:pPr>
        <w:spacing w:after="0"/>
        <w:rPr>
          <w:lang w:val="de-DE"/>
        </w:rPr>
      </w:pPr>
      <w:r>
        <w:rPr>
          <w:lang w:val="de-DE"/>
        </w:rPr>
        <w:t>v.</w:t>
      </w:r>
      <w:r>
        <w:rPr>
          <w:lang w:val="de-DE"/>
        </w:rPr>
        <w:tab/>
      </w:r>
      <w:r>
        <w:rPr>
          <w:lang w:val="de-DE"/>
        </w:rPr>
        <w:t>Durchführung von Studien und Konsultationen, Analyse und Verbreitung der Ergebnisse im Kontext der EU-Politik;</w:t>
      </w:r>
    </w:p>
    <w:p w:rsidRPr="00A95A44" w:rsidR="00A95A44" w:rsidP="00527473" w:rsidRDefault="00C42C18" w14:paraId="2BE34DBA" w14:textId="3F92A7F9">
      <w:pPr>
        <w:spacing w:after="0"/>
        <w:rPr>
          <w:lang w:val="de-DE"/>
        </w:rPr>
      </w:pPr>
      <w:r>
        <w:rPr>
          <w:lang w:val="de-DE"/>
        </w:rPr>
        <w:t>vi.</w:t>
      </w:r>
      <w:r>
        <w:rPr>
          <w:lang w:val="de-DE"/>
        </w:rPr>
        <w:tab/>
      </w:r>
      <w:r>
        <w:rPr>
          <w:lang w:val="de-DE"/>
        </w:rPr>
        <w:t>Teilnahme im Auftrag eines EG-Beamten an internen und externen Kommunikationsaktivitäten, wie beispielsweise, aber nicht beschränkt auf, trilaterale Veranstaltungen, Konferenzen und Newsletter der EOSC.</w:t>
      </w: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C42C18" w:rsidP="00527473" w:rsidRDefault="00C42C18" w14:paraId="56777026" w14:textId="77777777">
      <w:pPr>
        <w:spacing w:after="0"/>
        <w:rPr>
          <w:lang w:val="en-US"/>
        </w:rPr>
      </w:pPr>
      <w:r>
        <w:rPr>
          <w:lang w:val="en-US"/>
        </w:rPr>
        <w:t>Eine hochmotivierte und dynamische Kollegin / einen hochmotivierten und dynamischen Kollegen, die/der wirksame Beiträge zur europäischen Forschungs- und Innovationspolitik leisten kann. Die Kollegin/der Kollege sollte über Kenntnisse und/oder Erfahrungen in Wissenschaft und Technologie sowie Forschungs- und Innovationspolitik und/oder -programmen verfügen.</w:t>
      </w:r>
    </w:p>
    <w:p w:rsidRPr="00A10C67" w:rsidR="00792E59" w:rsidP="00527473" w:rsidRDefault="00C42C18" w14:paraId="7DFF067A" w14:textId="3493F395">
      <w:pPr>
        <w:spacing w:after="0"/>
        <w:rPr>
          <w:lang w:val="en-US"/>
        </w:rPr>
      </w:pPr>
      <w:r>
        <w:rPr>
          <w:lang w:val="en-US"/>
        </w:rPr>
        <w:t>Sie/Er sollte unter anderem über gute analytische Fähigkeiten, Problemlösungskompetenz und Detailgenauigkeit sowie gute Schreib-, Kommunikations- und Organisationsfähigkeiten verfügen. Sie/Er sollte Aufgaben selbstständig und in Zusammenarbeit mit Teammitgliedern bearbeiten und konstruktiv mit anderen Dienststellen sowie externen Stakeholdern interagieren können. Sie/Er sollte über sehr gute Englischkenntnisse verfügen.</w:t>
      </w: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C42C18"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C42C18"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C42C18"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C42C18"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C42C18"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C42C18"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C42C18"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C42C18"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C42C18"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C42C18"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63AC5"/>
    <w:rsid w:val="00A95A44"/>
    <w:rsid w:val="00AB1753"/>
    <w:rsid w:val="00B404B3"/>
    <w:rsid w:val="00BC2D0B"/>
    <w:rsid w:val="00BD6B4C"/>
    <w:rsid w:val="00C42C18"/>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320D766"/>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3E1E20C8"/>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C277242"/>
    <w:rsid w:val="5D52B897"/>
    <w:rsid w:val="5D7F636D"/>
    <w:rsid w:val="63F68936"/>
    <w:rsid w:val="67C5C01A"/>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BRANZK Paul Ludwig (HR)</dc:creator>
  <keywords/>
  <dc:description/>
  <lastModifiedBy>MESSIAS Linda (HR)</lastModifiedBy>
  <revision>3</revision>
  <dcterms:created xsi:type="dcterms:W3CDTF">2025-11-13T17:25:00.0000000Z</dcterms:created>
  <dcterms:modified xsi:type="dcterms:W3CDTF">2025-11-14T11:21:00.0990996Z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