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0475EE" w14:paraId="73E9441F" w14:textId="23E4515B">
      <w:pPr>
        <w:spacing w:after="0"/>
        <w:jc w:val="right"/>
        <w:rPr>
          <w:sz w:val="22"/>
          <w:szCs w:val="18"/>
          <w:lang w:val="en-US"/>
        </w:rPr>
      </w:pPr>
      <w:r>
        <w:rPr>
          <w:sz w:val="22"/>
          <w:szCs w:val="18"/>
          <w:lang w:val="en-US"/>
        </w:rPr>
        <w:t>13/11/2025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0475EE"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14270372"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6938F5" w:rsidP="006718D3" w:rsidRDefault="000475EE" w14:paraId="16E99962" w14:textId="2C9C6933">
            <w:pPr>
              <w:spacing w:after="0"/>
              <w:jc w:val="left"/>
            </w:pPr>
            <w:r>
              <w:t>INTPA-G-5</w:t>
            </w:r>
          </w:p>
        </w:tc>
      </w:tr>
      <w:tr w:rsidR="006938F5" w:rsidTr="14270372"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6938F5" w:rsidP="006718D3" w:rsidRDefault="000475EE" w14:paraId="54D41098" w14:textId="52E4C6B5">
            <w:pPr>
              <w:spacing w:after="0"/>
              <w:jc w:val="left"/>
            </w:pPr>
            <w:r>
              <w:t>318885</w:t>
            </w:r>
          </w:p>
        </w:tc>
      </w:tr>
      <w:tr w:rsidR="14270372" w:rsidTr="14270372"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vAlign w:val="center"/>
          </w:tcPr>
          <w:p w:rsidR="4EEB584D" w:rsidP="14270372" w:rsidRDefault="000475EE" w14:paraId="1797EDF2" w14:textId="2088C012">
            <w:pPr>
              <w:spacing w:after="0"/>
              <w:jc w:val="left"/>
            </w:pPr>
            <w:r>
              <w:t>Q1 2026</w:t>
            </w:r>
          </w:p>
        </w:tc>
      </w:tr>
      <w:tr w:rsidR="006938F5" w:rsidTr="14270372"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vAlign w:val="center"/>
          </w:tcPr>
          <w:p w:rsidR="006938F5" w:rsidP="006718D3" w:rsidRDefault="000475EE" w14:paraId="4528AB07" w14:textId="7B3E49BB">
            <w:pPr>
              <w:spacing w:after="0"/>
              <w:jc w:val="left"/>
            </w:pPr>
            <w:r>
              <w:t>24</w:t>
            </w:r>
          </w:p>
        </w:tc>
      </w:tr>
      <w:tr w:rsidR="14270372" w:rsidTr="14270372"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Pr>
          <w:p w:rsidR="3C2D33B5" w:rsidP="14270372" w:rsidRDefault="000475EE" w14:paraId="4E935B99" w14:textId="47D761CF">
            <w:pPr>
              <w:spacing w:after="0"/>
              <w:jc w:val="left"/>
            </w:pPr>
            <w:r>
              <w:t>Brussels</w:t>
            </w:r>
          </w:p>
          <w:p w:rsidR="3C2D33B5" w:rsidP="14270372" w:rsidRDefault="000475EE" w14:paraId="6B7C1AA9" w14:textId="21C172F0">
            <w:pPr>
              <w:spacing w:after="0"/>
              <w:jc w:val="left"/>
            </w:pPr>
            <w:r>
              <w:t>Bruxelles</w:t>
            </w:r>
          </w:p>
          <w:p w:rsidR="3C2D33B5" w:rsidP="14270372" w:rsidRDefault="000475EE" w14:paraId="5C918E8F" w14:textId="15C907AC">
            <w:pPr>
              <w:spacing w:after="0"/>
              <w:jc w:val="left"/>
            </w:pPr>
            <w:r>
              <w:t>Brüssel</w:t>
            </w:r>
          </w:p>
        </w:tc>
      </w:tr>
      <w:tr w:rsidR="006938F5" w:rsidTr="14270372"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006938F5" w:rsidP="006718D3" w:rsidRDefault="000475EE" w14:paraId="1AFC5732" w14:textId="45243093">
            <w:pPr>
              <w:spacing w:after="0"/>
              <w:jc w:val="left"/>
            </w:pPr>
            <w:r>
              <w:t>Cost-free</w:t>
            </w:r>
          </w:p>
          <w:p w:rsidR="006938F5" w:rsidP="006718D3" w:rsidRDefault="000475EE" w14:paraId="02E31856" w14:textId="6F423F15">
            <w:pPr>
              <w:spacing w:after="0"/>
              <w:jc w:val="left"/>
            </w:pPr>
            <w:r>
              <w:t>Sans frais</w:t>
            </w:r>
          </w:p>
          <w:p w:rsidR="006938F5" w:rsidP="006718D3" w:rsidRDefault="000475EE" w14:paraId="720FD450" w14:textId="1AC69CDA">
            <w:pPr>
              <w:spacing w:after="0"/>
              <w:jc w:val="left"/>
            </w:pPr>
            <w:r>
              <w:t>Unentgeltlich abgeordnet</w:t>
            </w:r>
          </w:p>
        </w:tc>
      </w:tr>
      <w:tr w:rsidR="006938F5" w:rsidTr="14270372" w14:paraId="6274D869" w14:textId="77777777">
        <w:tc>
          <w:tcPr>
            <w:tcW w:w="4398" w:type="dxa"/>
            <w:tcBorders>
              <w:top w:val="single" w:color="000000" w:themeColor="text1" w:sz="8" w:space="0"/>
            </w:tcBorders>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vAlign w:val="center"/>
          </w:tcPr>
          <w:p w:rsidR="006938F5" w:rsidP="006718D3" w:rsidRDefault="000475EE" w14:paraId="1EB17035" w14:textId="74F8E995">
            <w:pPr>
              <w:spacing w:after="0"/>
              <w:jc w:val="left"/>
            </w:pPr>
            <w:r>
              <w:t>Member States</w:t>
            </w:r>
          </w:p>
          <w:p w:rsidR="006938F5" w:rsidP="006718D3" w:rsidRDefault="000475EE" w14:paraId="2A7DF233" w14:textId="436446A1">
            <w:pPr>
              <w:spacing w:after="0"/>
              <w:jc w:val="left"/>
            </w:pPr>
            <w:r>
              <w:t>États membres</w:t>
            </w:r>
          </w:p>
          <w:p w:rsidR="006938F5" w:rsidP="006718D3" w:rsidRDefault="000475EE" w14:paraId="13C75E2E" w14:textId="1EB71F94">
            <w:pPr>
              <w:spacing w:after="0"/>
              <w:jc w:val="left"/>
            </w:pPr>
            <w:r>
              <w:t>Mitgliedstaaten</w:t>
            </w:r>
          </w:p>
        </w:tc>
      </w:tr>
      <w:tr w:rsidR="006938F5" w:rsidTr="14270372" w14:paraId="282F0CCB" w14:textId="77777777">
        <w:tc>
          <w:tcPr>
            <w:tcW w:w="4398" w:type="dxa"/>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vAlign w:val="center"/>
          </w:tcPr>
          <w:p w:rsidR="006938F5" w:rsidP="006718D3" w:rsidRDefault="000475EE" w14:paraId="50820CBA" w14:textId="49305F64">
            <w:pPr>
              <w:spacing w:after="0"/>
              <w:jc w:val="left"/>
            </w:pPr>
            <w:r>
              <w:t>27/01/2026</w:t>
            </w:r>
          </w:p>
        </w:tc>
      </w:tr>
      <w:tr w:rsidRPr="00A10C67" w:rsidR="003D0078" w:rsidTr="14270372" w14:paraId="62E50BA3" w14:textId="77777777">
        <w:tc>
          <w:tcPr>
            <w:tcW w:w="4398" w:type="dxa"/>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0475EE" w14:paraId="5AF5E061" w14:textId="0B16BE78">
      <w:pPr>
        <w:spacing w:after="0"/>
        <w:jc w:val="right"/>
        <w:rPr>
          <w:sz w:val="22"/>
          <w:szCs w:val="18"/>
          <w:lang w:val="en-US"/>
        </w:rPr>
      </w:pPr>
      <w:r>
        <w:rPr>
          <w:sz w:val="22"/>
          <w:szCs w:val="18"/>
          <w:lang w:val="en-US"/>
        </w:rPr>
        <w:t>13/11/2025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0475EE" w:rsidP="003C1977" w:rsidRDefault="000475EE" w14:paraId="00D3D15F" w14:textId="77777777">
      <w:pPr>
        <w:spacing w:after="0"/>
      </w:pPr>
      <w:r>
        <w:t>Within the European Commission, the Directorate-General for International Partnerships is in charge of development cooperation policy as part of the EU wider framework of international cooperation and external relations. This encompasses cooperation with developing countries at different stages of development and ensuring strong links and coherence between EU’s internal policies and priorities and its external action. In the framework of DG INTPA’s overall mandate, and within Directorate G 'Human Development, Migration, Governance and Peace’, the thematic Unit G5 'Resilience, Peace, Security' formulates and coordinates sectoral policies in these fields by:</w:t>
      </w:r>
    </w:p>
    <w:p w:rsidR="000475EE" w:rsidP="003C1977" w:rsidRDefault="000475EE" w14:paraId="6BF1B1FC" w14:textId="77777777">
      <w:pPr>
        <w:spacing w:after="0"/>
      </w:pPr>
      <w:r>
        <w:t>•</w:t>
      </w:r>
      <w:r>
        <w:tab/>
      </w:r>
      <w:r>
        <w:t>Providing expertise in the areas of Resilience, Peace and Security.</w:t>
      </w:r>
    </w:p>
    <w:p w:rsidR="000475EE" w:rsidP="003C1977" w:rsidRDefault="000475EE" w14:paraId="689A2C03" w14:textId="77777777">
      <w:pPr>
        <w:spacing w:after="0"/>
      </w:pPr>
      <w:r>
        <w:t>•</w:t>
      </w:r>
      <w:r>
        <w:tab/>
      </w:r>
      <w:r>
        <w:t>Working on mainstreaming the Humanitarian-Development-Peace nexus in EU’s work in Headquarters and the field.</w:t>
      </w:r>
    </w:p>
    <w:p w:rsidR="000475EE" w:rsidP="003C1977" w:rsidRDefault="000475EE" w14:paraId="103C0387" w14:textId="77777777">
      <w:pPr>
        <w:spacing w:after="0"/>
      </w:pPr>
      <w:r>
        <w:t>•</w:t>
      </w:r>
      <w:r>
        <w:tab/>
      </w:r>
      <w:r>
        <w:t>Providing expertise and support to capacity building and ensuring conflict sensitivity, peacebuilding and resilience approaches in countries affected by crises and/or fragility(ies).</w:t>
      </w:r>
    </w:p>
    <w:p w:rsidR="000475EE" w:rsidP="003C1977" w:rsidRDefault="000475EE" w14:paraId="4571CA07" w14:textId="77777777">
      <w:pPr>
        <w:spacing w:after="0"/>
      </w:pPr>
      <w:r>
        <w:t>•</w:t>
      </w:r>
      <w:r>
        <w:tab/>
      </w:r>
      <w:r>
        <w:t>Acting as a centre of expertise for cooperation on Security Sector Reform (SSR) transnational organised crime; protection of critical infrastructure; preventing and countering violent extremism, illicit financial flows, anti-money laundering and countering terrorist financing</w:t>
      </w:r>
    </w:p>
    <w:p w:rsidR="000475EE" w:rsidP="003C1977" w:rsidRDefault="000475EE" w14:paraId="3EF09BD3" w14:textId="77777777">
      <w:pPr>
        <w:spacing w:after="0"/>
      </w:pPr>
      <w:r>
        <w:t>•</w:t>
      </w:r>
      <w:r>
        <w:tab/>
      </w:r>
      <w:r>
        <w:t>Jointly managing EU crisis preparedness and analysis tools (e.g. EU Conflict Early Warning System and RPBAs/PDNAs).</w:t>
      </w:r>
    </w:p>
    <w:p w:rsidR="000475EE" w:rsidP="003C1977" w:rsidRDefault="000475EE" w14:paraId="2ECE1E01" w14:textId="77777777">
      <w:pPr>
        <w:spacing w:after="0"/>
      </w:pPr>
      <w:r>
        <w:t>•</w:t>
      </w:r>
      <w:r>
        <w:tab/>
      </w:r>
      <w:r>
        <w:t>Acting as focal point and coordination entity on the above issues with a number of partners such as the Bretton Woods institutions, the OECD, and the UN (UNDP, UN Peace Building Support Office, the UN Office on Drugs and Crime, the United Nations Office on Counter Terrorism), as well as other specialised international bodies and organisations (Interpol, the Financial Action Task Force).</w:t>
      </w:r>
    </w:p>
    <w:p w:rsidR="000475EE" w:rsidP="003C1977" w:rsidRDefault="000475EE" w14:paraId="268A9B73" w14:textId="77777777">
      <w:pPr>
        <w:spacing w:after="0"/>
      </w:pPr>
      <w:r>
        <w:t>The Unit’s work is inscribed in the overall EU priorities, including the Global Gateway strategy.</w:t>
      </w:r>
    </w:p>
    <w:p w:rsidR="000475EE" w:rsidP="003C1977" w:rsidRDefault="000475EE" w14:paraId="05657884" w14:textId="77777777">
      <w:pPr>
        <w:spacing w:after="0"/>
      </w:pPr>
      <w:r>
        <w:t>The Unit has two inter-dependent teams (1) Peace/Resilience and (2) Security that work across with a vast array of interlocutors in the EU system (i.a. other European Commission services, the External Action Service, EU Delegations and EU Member States…), in partner countries worldwide (Africa, Latin America &amp; Caribbean, Asia &amp; Pacific), as well as internationally (i.a. other multilateral organizations and intra-governmental specialized bodies)</w:t>
      </w:r>
    </w:p>
    <w:p w:rsidR="000475EE" w:rsidP="003C1977" w:rsidRDefault="000475EE" w14:paraId="74DCC6BC" w14:textId="77777777">
      <w:pPr>
        <w:spacing w:after="0"/>
      </w:pPr>
    </w:p>
    <w:p w:rsidR="000475EE" w:rsidP="003C1977" w:rsidRDefault="000475EE" w14:paraId="0F4AB071" w14:textId="77777777">
      <w:pPr>
        <w:spacing w:after="0"/>
      </w:pPr>
    </w:p>
    <w:p w:rsidR="00A95A44" w:rsidP="003C1977" w:rsidRDefault="00A95A44" w14:paraId="2444BC8A" w14:textId="54C11B8C">
      <w:pPr>
        <w:spacing w:after="0"/>
      </w:pP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0475EE" w:rsidP="003C1977" w:rsidRDefault="000475EE" w14:paraId="73BC8890" w14:textId="77777777">
      <w:pPr>
        <w:spacing w:after="0"/>
      </w:pPr>
      <w:r>
        <w:t>Unit INTPA G5 is seeking to hire one policy expert to work peace and resilience policies, with a particular focus on women, peace and security (WPS) and youth, peace and security (YPS). He/she will:</w:t>
      </w:r>
    </w:p>
    <w:p w:rsidR="000475EE" w:rsidP="003C1977" w:rsidRDefault="000475EE" w14:paraId="3AE7EEDB" w14:textId="77777777">
      <w:pPr>
        <w:spacing w:after="0"/>
      </w:pPr>
      <w:r>
        <w:t>-</w:t>
      </w:r>
      <w:r>
        <w:tab/>
      </w:r>
      <w:r>
        <w:t xml:space="preserve">Help design, advise on and support the implementation of projects and programmes related to peace, resilience and capacity building in the fields of WPS and YPS that help addressing fragility and conflict drivers. </w:t>
      </w:r>
    </w:p>
    <w:p w:rsidR="000475EE" w:rsidP="003C1977" w:rsidRDefault="000475EE" w14:paraId="774A2B6A" w14:textId="77777777">
      <w:pPr>
        <w:spacing w:after="0"/>
      </w:pPr>
      <w:r>
        <w:t>-</w:t>
      </w:r>
      <w:r>
        <w:tab/>
      </w:r>
      <w:r>
        <w:t xml:space="preserve">Advise and support EU Delegations worldwide and INTPA units (notably geographic units) on the peace building, including as part of the Humanitarian, Development and Peace nexus, various dimensions of fragility, resilience building and conflict sensitivity.  </w:t>
      </w:r>
    </w:p>
    <w:p w:rsidR="000475EE" w:rsidP="003C1977" w:rsidRDefault="000475EE" w14:paraId="3C8E91C1" w14:textId="77777777">
      <w:pPr>
        <w:spacing w:after="0"/>
      </w:pPr>
      <w:r>
        <w:t>- Design, organize and participate in joint conflict analyses, conflict sensitivity, early warning and risk assessments in fragile and conflict-affected countries and contexts, in particular those with a focus on gender equality and women’s rights.</w:t>
      </w:r>
    </w:p>
    <w:p w:rsidR="000475EE" w:rsidP="003C1977" w:rsidRDefault="000475EE" w14:paraId="6550A920" w14:textId="77777777">
      <w:pPr>
        <w:spacing w:after="0"/>
      </w:pPr>
      <w:r>
        <w:t>-  Contribute to briefings, responses to parliamentary questions and responses to queries on WPS/YPS</w:t>
      </w:r>
    </w:p>
    <w:p w:rsidR="000475EE" w:rsidP="003C1977" w:rsidRDefault="000475EE" w14:paraId="4124B1A0" w14:textId="77777777">
      <w:pPr>
        <w:spacing w:after="0"/>
      </w:pPr>
      <w:r>
        <w:t>- Promote and support the operationalization of the EUs approach to WPS and YPS in relevant contexts and contribute to international fora discussing WPS/YPS policy initiatives;</w:t>
      </w:r>
    </w:p>
    <w:p w:rsidR="000475EE" w:rsidP="003C1977" w:rsidRDefault="000475EE" w14:paraId="748F2944" w14:textId="77777777">
      <w:pPr>
        <w:spacing w:after="0"/>
      </w:pPr>
      <w:r>
        <w:t>- Follow and contribute to different policy dialogues on WPS and YPS issues with EU Member States and partner countries at bilateral and regional level.</w:t>
      </w:r>
    </w:p>
    <w:p w:rsidR="000475EE" w:rsidP="003C1977" w:rsidRDefault="000475EE" w14:paraId="302BD9D2" w14:textId="77777777">
      <w:pPr>
        <w:spacing w:after="0"/>
      </w:pPr>
      <w:r>
        <w:t>- Work closely with other departments in the European Commission and the EEAS/FPI, as well as liaise as appropriate with external stakeholders on WPS and YPS.</w:t>
      </w:r>
    </w:p>
    <w:p w:rsidR="000475EE" w:rsidP="003C1977" w:rsidRDefault="000475EE" w14:paraId="24B828A8" w14:textId="77777777">
      <w:pPr>
        <w:spacing w:after="0"/>
      </w:pPr>
    </w:p>
    <w:p w:rsidR="00A95A44" w:rsidP="003C1977" w:rsidRDefault="00A95A44" w14:paraId="4FA38409" w14:textId="1D501812">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A95A44" w:rsidP="00527473" w:rsidRDefault="000475EE" w14:paraId="0DE8C532" w14:textId="26D96E79">
      <w:pPr>
        <w:spacing w:after="0"/>
        <w:jc w:val="left"/>
      </w:pPr>
      <w:r>
        <w:t>We are looking for a candidate with a Master's degree (or equivalent diploma) in economics or social sciences, e.g., political science, law, economics, international relations, peace and conflict studies, development studies, security studies or equivalent experience. He/she should have experience on WPS and/or YPS issues, including in relation to fragile and conflict/crisis-affected countries. Strong analytical skills are required.</w:t>
      </w: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0475EE" w14:paraId="2551067D" w14:textId="44A3A176">
      <w:pPr>
        <w:spacing w:after="0"/>
        <w:jc w:val="right"/>
        <w:rPr>
          <w:sz w:val="22"/>
          <w:szCs w:val="18"/>
        </w:rPr>
      </w:pPr>
      <w:r>
        <w:rPr>
          <w:sz w:val="22"/>
          <w:szCs w:val="18"/>
        </w:rPr>
        <w:t>13/11/2025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0475EE" w:rsidP="00527473" w:rsidRDefault="000475EE" w14:paraId="4E147C3B" w14:textId="77777777">
      <w:pPr>
        <w:spacing w:after="0"/>
        <w:rPr>
          <w:lang w:val="de-DE"/>
        </w:rPr>
      </w:pPr>
      <w:r>
        <w:rPr>
          <w:lang w:val="de-DE"/>
        </w:rPr>
        <w:t>La Direction générale des partenariats internationaux au sein de la Commission européenne est chargée de la politique de coopération au développement, dans le cadre plus large de la coopération internationale et des relations extérieures de l'UE. Elle se concentre sur les partenariats avec les pays en développement, en veillant à la cohérence entre les politiques internes de l'UE et ses actions extérieures. Au sein de la DG INTPA, la Direction G 'Développement humain, migration, gouvernance et paix' comprend l'unité thématique G5 'Résilience, Paix, Sécurité'. Cette unité formule et coordonne des politiques sectorielles dans les domaines concernés en :</w:t>
      </w:r>
    </w:p>
    <w:p w:rsidR="000475EE" w:rsidP="00527473" w:rsidRDefault="000475EE" w14:paraId="1D83A539" w14:textId="77777777">
      <w:pPr>
        <w:spacing w:after="0"/>
        <w:rPr>
          <w:lang w:val="de-DE"/>
        </w:rPr>
      </w:pPr>
    </w:p>
    <w:p w:rsidR="000475EE" w:rsidP="00527473" w:rsidRDefault="000475EE" w14:paraId="12ED7294" w14:textId="77777777">
      <w:pPr>
        <w:spacing w:after="0"/>
        <w:rPr>
          <w:lang w:val="de-DE"/>
        </w:rPr>
      </w:pPr>
      <w:r>
        <w:rPr>
          <w:lang w:val="de-DE"/>
        </w:rPr>
        <w:t>- Offrant une expertise en matière de résilience, de paix et de sécurité.</w:t>
      </w:r>
    </w:p>
    <w:p w:rsidR="000475EE" w:rsidP="00527473" w:rsidRDefault="000475EE" w14:paraId="32A428E2" w14:textId="77777777">
      <w:pPr>
        <w:spacing w:after="0"/>
        <w:rPr>
          <w:lang w:val="de-DE"/>
        </w:rPr>
      </w:pPr>
      <w:r>
        <w:rPr>
          <w:lang w:val="de-DE"/>
        </w:rPr>
        <w:t>- Travaillant à intégrer le nexus humanitaire-développement-paix dans les efforts de l'UE, tant au siège que sur le terrain.</w:t>
      </w:r>
    </w:p>
    <w:p w:rsidR="000475EE" w:rsidP="00527473" w:rsidRDefault="000475EE" w14:paraId="16D15CB0" w14:textId="77777777">
      <w:pPr>
        <w:spacing w:after="0"/>
        <w:rPr>
          <w:lang w:val="de-DE"/>
        </w:rPr>
      </w:pPr>
      <w:r>
        <w:rPr>
          <w:lang w:val="de-DE"/>
        </w:rPr>
        <w:t>- Fournissant expertise et soutien au renforcement des capacités et en promouvant la sensibilité aux conflits, la consolidation de la paix et les approches de résilience dans les pays touchés par des crises et/ou des fragilités.</w:t>
      </w:r>
    </w:p>
    <w:p w:rsidR="000475EE" w:rsidP="00527473" w:rsidRDefault="000475EE" w14:paraId="141EB51A" w14:textId="77777777">
      <w:pPr>
        <w:spacing w:after="0"/>
        <w:rPr>
          <w:lang w:val="de-DE"/>
        </w:rPr>
      </w:pPr>
      <w:r>
        <w:rPr>
          <w:lang w:val="de-DE"/>
        </w:rPr>
        <w:t>- Servant de centre d'expertise pour la coopération en matière de réforme du secteur de la sécurité (RSS), de lutte contre le crime organisé transnational, de protection des infrastructures critiques, de prévention et de lutte contre l'extrémisme violent, de gestion des flux financiers illicites, et de lutte contre le blanchiment d'argent et le financement du terrorisme.</w:t>
      </w:r>
    </w:p>
    <w:p w:rsidR="000475EE" w:rsidP="00527473" w:rsidRDefault="000475EE" w14:paraId="52EC09A3" w14:textId="77777777">
      <w:pPr>
        <w:spacing w:after="0"/>
        <w:rPr>
          <w:lang w:val="de-DE"/>
        </w:rPr>
      </w:pPr>
      <w:r>
        <w:rPr>
          <w:lang w:val="de-DE"/>
        </w:rPr>
        <w:t>- Gérant conjointement les outils de préparation et d'analyse des crises de l'UE, tels que le système d'alerte rapide de l'UE pour les conflits et les RPBAs/PDNAs.</w:t>
      </w:r>
    </w:p>
    <w:p w:rsidR="000475EE" w:rsidP="00527473" w:rsidRDefault="000475EE" w14:paraId="53FB2CC2" w14:textId="77777777">
      <w:pPr>
        <w:spacing w:after="0"/>
        <w:rPr>
          <w:lang w:val="de-DE"/>
        </w:rPr>
      </w:pPr>
      <w:r>
        <w:rPr>
          <w:lang w:val="de-DE"/>
        </w:rPr>
        <w:t>- Agissant comme point de coordination sur ces questions avec des entités telles que les institutions de Bretton Woods, l'OCDE, les organismes des Nations Unies (PNUD, bureau de soutien à la consolidation de la paix de l'ONU, bureau des Nations Unies contre la drogue et le crime, bureau des Nations Unies pour la lutte contre le terrorisme), ainsi que d'autres organismes internationaux spécialisés (Interpol, le Groupe d'action financière).</w:t>
      </w:r>
    </w:p>
    <w:p w:rsidR="000475EE" w:rsidP="00527473" w:rsidRDefault="000475EE" w14:paraId="6712D154" w14:textId="77777777">
      <w:pPr>
        <w:spacing w:after="0"/>
        <w:rPr>
          <w:lang w:val="de-DE"/>
        </w:rPr>
      </w:pPr>
    </w:p>
    <w:p w:rsidR="000475EE" w:rsidP="00527473" w:rsidRDefault="000475EE" w14:paraId="5C664CA1" w14:textId="77777777">
      <w:pPr>
        <w:spacing w:after="0"/>
        <w:rPr>
          <w:lang w:val="de-DE"/>
        </w:rPr>
      </w:pPr>
      <w:r>
        <w:rPr>
          <w:lang w:val="de-DE"/>
        </w:rPr>
        <w:t>Les efforts de l'unité s'inscrivent dans les priorités globales de l'UE, y compris la stratégie Global Gateway. Elle comprend deux équipes interdépendantes : (1) Paix/Résilience et (2) Sécurité, qui s'engagent avec une grande variété de parties prenantes dans le système de l'UE (y compris d'autres services de la Commission européenne, le Service européen pour l'action extérieure, les délégations de l'UE et les États membres de l'UE), dans des pays partenaires à travers le monde (Afrique, Amérique latine et Caraïbes, Asie et Pacifique), et à l'international (y compris d'autres organisations multilatérales et organismes spécialisés intergouvernementaux).</w:t>
      </w:r>
    </w:p>
    <w:p w:rsidR="000475EE" w:rsidP="00527473" w:rsidRDefault="000475EE" w14:paraId="3B0666B5" w14:textId="77777777">
      <w:pPr>
        <w:spacing w:after="0"/>
        <w:rPr>
          <w:lang w:val="de-DE"/>
        </w:rPr>
      </w:pPr>
    </w:p>
    <w:p w:rsidR="000475EE" w:rsidP="00527473" w:rsidRDefault="000475EE" w14:paraId="0F9A8A6F" w14:textId="77777777">
      <w:pPr>
        <w:spacing w:after="0"/>
        <w:rPr>
          <w:lang w:val="de-DE"/>
        </w:rPr>
      </w:pPr>
    </w:p>
    <w:p w:rsidRPr="00E61551" w:rsidR="00A95A44" w:rsidP="00527473" w:rsidRDefault="00A95A44" w14:paraId="6810D07E" w14:textId="7F9EF143">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0475EE" w:rsidP="00527473" w:rsidRDefault="000475EE" w14:paraId="14FCF5D5" w14:textId="77777777">
      <w:pPr>
        <w:spacing w:after="0"/>
        <w:jc w:val="left"/>
        <w:rPr>
          <w:lang w:val="de-DE"/>
        </w:rPr>
      </w:pPr>
      <w:r>
        <w:rPr>
          <w:lang w:val="de-DE"/>
        </w:rPr>
        <w:t>L'unité INTPA G5 cherche à recruter un expert en politique pour travailler sur les politiques de paix et de résilience, avec un accent particulier sur les femmes, la paix et la sécurité (FPS) et les jeunes, la paix et la sécurité (JPS). Il/elle devra :</w:t>
      </w:r>
    </w:p>
    <w:p w:rsidR="000475EE" w:rsidP="00527473" w:rsidRDefault="000475EE" w14:paraId="291469CB" w14:textId="77777777">
      <w:pPr>
        <w:spacing w:after="0"/>
        <w:jc w:val="left"/>
        <w:rPr>
          <w:lang w:val="de-DE"/>
        </w:rPr>
      </w:pPr>
      <w:r>
        <w:rPr>
          <w:lang w:val="de-DE"/>
        </w:rPr>
        <w:t>- Aider à concevoir, conseiller sur et soutenir la mise en œuvre de projets et programmes liés à la paix, la résilience et le renforcement des capacités dans les domaines de la FPS et JPS, aidant à traiter les facteurs de fragilité et de conflit.</w:t>
      </w:r>
    </w:p>
    <w:p w:rsidR="000475EE" w:rsidP="00527473" w:rsidRDefault="000475EE" w14:paraId="0C528BC7" w14:textId="77777777">
      <w:pPr>
        <w:spacing w:after="0"/>
        <w:jc w:val="left"/>
        <w:rPr>
          <w:lang w:val="de-DE"/>
        </w:rPr>
      </w:pPr>
      <w:r>
        <w:rPr>
          <w:lang w:val="de-DE"/>
        </w:rPr>
        <w:t>- Conseiller et soutenir les délégations de l'UE dans le monde et les unités INTPA (notamment les unités géographiques) sur la consolidation de la paix, y compris dans le cadre du nexus Humanitaire, Développement et Paix, des diverses dimensions de la fragilité, de la construction de résilience et de la sensibilité aux conflits.</w:t>
      </w:r>
    </w:p>
    <w:p w:rsidR="000475EE" w:rsidP="00527473" w:rsidRDefault="000475EE" w14:paraId="5DB69054" w14:textId="77777777">
      <w:pPr>
        <w:spacing w:after="0"/>
        <w:jc w:val="left"/>
        <w:rPr>
          <w:lang w:val="de-DE"/>
        </w:rPr>
      </w:pPr>
      <w:r>
        <w:rPr>
          <w:lang w:val="de-DE"/>
        </w:rPr>
        <w:t>- Concevoir, organiser et participer à des analyses conjointes des conflits, à la sensibilité aux conflits, aux systèmes d'alerte précoce et aux évaluations des risques dans les pays et contextes fragiles et affectés par les conflits, notamment ceux avec un accent sur l'égalité de genre et les droits des femmes.</w:t>
      </w:r>
    </w:p>
    <w:p w:rsidR="000475EE" w:rsidP="00527473" w:rsidRDefault="000475EE" w14:paraId="0ABE2545" w14:textId="77777777">
      <w:pPr>
        <w:spacing w:after="0"/>
        <w:jc w:val="left"/>
        <w:rPr>
          <w:lang w:val="de-DE"/>
        </w:rPr>
      </w:pPr>
      <w:r>
        <w:rPr>
          <w:lang w:val="de-DE"/>
        </w:rPr>
        <w:t>- Contribuer aux briefings, aux réponses aux questions parlementaires et aux réponses aux demandes liées à la FPS/JPS.</w:t>
      </w:r>
    </w:p>
    <w:p w:rsidR="000475EE" w:rsidP="00527473" w:rsidRDefault="000475EE" w14:paraId="7185B669" w14:textId="77777777">
      <w:pPr>
        <w:spacing w:after="0"/>
        <w:jc w:val="left"/>
        <w:rPr>
          <w:lang w:val="de-DE"/>
        </w:rPr>
      </w:pPr>
      <w:r>
        <w:rPr>
          <w:lang w:val="de-DE"/>
        </w:rPr>
        <w:t>- Promouvoir et soutenir l'opérationnalisation de l'approche de l'UE concernant la FPS et JPS dans les contextes pertinents et contribuer aux forums internationaux discutant des initiatives politiques FPS/JPS.</w:t>
      </w:r>
    </w:p>
    <w:p w:rsidR="000475EE" w:rsidP="00527473" w:rsidRDefault="000475EE" w14:paraId="51FED085" w14:textId="77777777">
      <w:pPr>
        <w:spacing w:after="0"/>
        <w:jc w:val="left"/>
        <w:rPr>
          <w:lang w:val="de-DE"/>
        </w:rPr>
      </w:pPr>
      <w:r>
        <w:rPr>
          <w:lang w:val="de-DE"/>
        </w:rPr>
        <w:t>- Suivre et contribuer aux différents dialogues politiques sur les enjeux FPS et JPS avec les États membres de l'UE et les pays partenaires au niveau bilatéral et régional.</w:t>
      </w:r>
    </w:p>
    <w:p w:rsidR="000475EE" w:rsidP="00527473" w:rsidRDefault="000475EE" w14:paraId="6B1101C8" w14:textId="77777777">
      <w:pPr>
        <w:spacing w:after="0"/>
        <w:jc w:val="left"/>
        <w:rPr>
          <w:lang w:val="de-DE"/>
        </w:rPr>
      </w:pPr>
      <w:r>
        <w:rPr>
          <w:lang w:val="de-DE"/>
        </w:rPr>
        <w:t>- Travailler en étroite collaboration avec d'autres départements de la Commission européenne et le SEAE/FPI, ainsi que communiquer de manière appropriée avec les parties prenantes externes concernant la FPS et JPS.</w:t>
      </w:r>
    </w:p>
    <w:p w:rsidR="000475EE" w:rsidP="00527473" w:rsidRDefault="000475EE" w14:paraId="359722C7" w14:textId="77777777">
      <w:pPr>
        <w:spacing w:after="0"/>
        <w:jc w:val="left"/>
        <w:rPr>
          <w:lang w:val="de-DE"/>
        </w:rPr>
      </w:pPr>
    </w:p>
    <w:p w:rsidRPr="00E61551" w:rsidR="00A95A44" w:rsidP="00527473" w:rsidRDefault="00A95A44" w14:paraId="59404C02" w14:textId="067E47DA">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Pr="00E61551" w:rsidR="00A95A44" w:rsidP="00527473" w:rsidRDefault="000475EE" w14:paraId="7B92B82C" w14:textId="3406994F">
      <w:pPr>
        <w:spacing w:after="0"/>
        <w:rPr>
          <w:lang w:val="de-DE"/>
        </w:rPr>
      </w:pPr>
      <w:r>
        <w:rPr>
          <w:lang w:val="de-DE"/>
        </w:rPr>
        <w:t>Nous recherchons un candidat titulaire d'un Master (ou d'un diplôme équivalent) en économie ou en sciences sociales, par exemple en science politique, droit, économie, relations internationales, études de paix et de conflits, études de développement, études de sécurité ou expérience équivalente. Il/elle devrait avoir une expérience des questions de FPS et/ou JPS, y compris en lien avec des pays fragiles et affectés par des conflits/crises. De solides compétences analytiques sont requises.</w:t>
      </w: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0475EE" w14:paraId="21F5E2BF" w14:textId="4E0B01D6">
      <w:pPr>
        <w:spacing w:after="0"/>
        <w:jc w:val="right"/>
        <w:rPr>
          <w:sz w:val="22"/>
          <w:szCs w:val="18"/>
          <w:lang w:val="de-DE"/>
        </w:rPr>
      </w:pPr>
      <w:r>
        <w:rPr>
          <w:sz w:val="22"/>
          <w:szCs w:val="18"/>
          <w:lang w:val="de-DE"/>
        </w:rPr>
        <w:t>13/11/2025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3A2B7ADE" w:rsidP="193BCEB5" w:rsidRDefault="3A2B7ADE" w14:paraId="4AD5AB63" w14:textId="4CAB80C4">
      <w:pPr>
        <w:tabs>
          <w:tab w:val="left" w:leader="none" w:pos="720"/>
        </w:tabs>
        <w:spacing w:before="0" w:beforeAutospacing="off" w:after="240" w:afterAutospacing="off"/>
        <w:ind w:left="709" w:right="0" w:hanging="709"/>
        <w:jc w:val="both"/>
        <w:rPr>
          <w:rFonts w:ascii="Times New Roman" w:hAnsi="Times New Roman" w:eastAsia="Times New Roman" w:cs="Times New Roman"/>
          <w:b w:val="1"/>
          <w:bCs w:val="1"/>
          <w:noProof w:val="0"/>
          <w:sz w:val="24"/>
          <w:szCs w:val="24"/>
          <w:lang w:val="en-US"/>
        </w:rPr>
      </w:pPr>
      <w:r w:rsidRPr="193BCEB5" w:rsidR="3A2B7ADE">
        <w:rPr>
          <w:rFonts w:ascii="Times New Roman" w:hAnsi="Times New Roman" w:eastAsia="Times New Roman" w:cs="Times New Roman"/>
          <w:b w:val="1"/>
          <w:bCs w:val="1"/>
          <w:noProof w:val="0"/>
          <w:sz w:val="24"/>
          <w:szCs w:val="24"/>
          <w:lang w:val="en-US"/>
        </w:rPr>
        <w:t>Wer</w:t>
      </w:r>
      <w:r w:rsidRPr="193BCEB5" w:rsidR="3A2B7ADE">
        <w:rPr>
          <w:rFonts w:ascii="Times New Roman" w:hAnsi="Times New Roman" w:eastAsia="Times New Roman" w:cs="Times New Roman"/>
          <w:b w:val="1"/>
          <w:bCs w:val="1"/>
          <w:noProof w:val="0"/>
          <w:sz w:val="24"/>
          <w:szCs w:val="24"/>
          <w:lang w:val="en-US"/>
        </w:rPr>
        <w:t xml:space="preserve"> </w:t>
      </w:r>
      <w:r w:rsidRPr="193BCEB5" w:rsidR="3A2B7ADE">
        <w:rPr>
          <w:rFonts w:ascii="Times New Roman" w:hAnsi="Times New Roman" w:eastAsia="Times New Roman" w:cs="Times New Roman"/>
          <w:b w:val="1"/>
          <w:bCs w:val="1"/>
          <w:noProof w:val="0"/>
          <w:sz w:val="24"/>
          <w:szCs w:val="24"/>
          <w:lang w:val="en-US"/>
        </w:rPr>
        <w:t>wir</w:t>
      </w:r>
      <w:r w:rsidRPr="193BCEB5" w:rsidR="3A2B7ADE">
        <w:rPr>
          <w:rFonts w:ascii="Times New Roman" w:hAnsi="Times New Roman" w:eastAsia="Times New Roman" w:cs="Times New Roman"/>
          <w:b w:val="1"/>
          <w:bCs w:val="1"/>
          <w:noProof w:val="0"/>
          <w:sz w:val="24"/>
          <w:szCs w:val="24"/>
          <w:lang w:val="en-US"/>
        </w:rPr>
        <w:t xml:space="preserve"> </w:t>
      </w:r>
      <w:r w:rsidRPr="193BCEB5" w:rsidR="3A2B7ADE">
        <w:rPr>
          <w:rFonts w:ascii="Times New Roman" w:hAnsi="Times New Roman" w:eastAsia="Times New Roman" w:cs="Times New Roman"/>
          <w:b w:val="1"/>
          <w:bCs w:val="1"/>
          <w:noProof w:val="0"/>
          <w:sz w:val="24"/>
          <w:szCs w:val="24"/>
          <w:lang w:val="en-US"/>
        </w:rPr>
        <w:t>sind</w:t>
      </w:r>
    </w:p>
    <w:p w:rsidR="3A2B7ADE" w:rsidP="44EAB857" w:rsidRDefault="3A2B7ADE" w14:paraId="1BD21E9C" w14:textId="20779346">
      <w:pPr>
        <w:spacing w:before="0" w:beforeAutospacing="off" w:after="0" w:afterAutospacing="off"/>
        <w:jc w:val="left"/>
        <w:rPr>
          <w:rFonts w:ascii="Times New Roman" w:hAnsi="Times New Roman" w:eastAsia="Times New Roman" w:cs="Times New Roman"/>
          <w:noProof w:val="0"/>
          <w:sz w:val="24"/>
          <w:szCs w:val="24"/>
          <w:lang w:val="de-DE"/>
        </w:rPr>
      </w:pPr>
      <w:r w:rsidRPr="44EAB857" w:rsidR="3A2B7ADE">
        <w:rPr>
          <w:rFonts w:ascii="Times New Roman" w:hAnsi="Times New Roman" w:eastAsia="Times New Roman" w:cs="Times New Roman"/>
          <w:noProof w:val="0"/>
          <w:sz w:val="24"/>
          <w:szCs w:val="24"/>
          <w:lang w:val="de-DE"/>
        </w:rPr>
        <w:t>Innerhalb der Europäischen Kommission ist das Generaldirektorat für Internationale Partnerschaften zuständig für die Entwicklungspolitik im Rahmen des umfassenderen EU-Systems für internationale Zusammenarbeit und Außenbeziehungen. Dies umfasst die Zusammenarbeit mit Entwicklungsländern auf verschiedenen Entwicklungsstufen und sorgt für starke Verbindungen und Kohärenz zwischen den internen politischen Strategien und Prioritäten der EU und ihrer externen Maßnahmen. Im Rahmen des allgemeinen Mandats der GD INTPA und innerhalb der Direktion G 'Menschliche Entwicklung, Migration, Governance und Frieden' formuliert und koordiniert die thematische Einheit G5 'Resilienz, Frieden, Sicherheit' sektorale Politiken in diesen Bereichen, indem:</w:t>
      </w:r>
    </w:p>
    <w:p w:rsidR="3A2B7ADE" w:rsidP="44EAB857" w:rsidRDefault="3A2B7ADE" w14:paraId="00AF0285" w14:textId="3148899B">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xml:space="preserve"> </w:t>
      </w:r>
    </w:p>
    <w:p w:rsidR="3A2B7ADE" w:rsidP="44EAB857" w:rsidRDefault="3A2B7ADE" w14:paraId="3F574649" w14:textId="0A20BFE5">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w:t>
      </w:r>
      <w:r>
        <w:tab/>
      </w:r>
      <w:r w:rsidRPr="44EAB857" w:rsidR="3A2B7ADE">
        <w:rPr>
          <w:rFonts w:ascii="Times New Roman" w:hAnsi="Times New Roman" w:eastAsia="Times New Roman" w:cs="Times New Roman"/>
          <w:noProof w:val="0"/>
          <w:sz w:val="24"/>
          <w:szCs w:val="24"/>
          <w:lang w:val="de"/>
        </w:rPr>
        <w:t>Expertise in den Bereichen Resilienz, Frieden und Sicherheit bereitgestellt wird.</w:t>
      </w:r>
    </w:p>
    <w:p w:rsidR="3A2B7ADE" w:rsidP="44EAB857" w:rsidRDefault="3A2B7ADE" w14:paraId="02D545A7" w14:textId="6D259F87">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w:t>
      </w:r>
      <w:r>
        <w:tab/>
      </w:r>
      <w:r w:rsidRPr="44EAB857" w:rsidR="3A2B7ADE">
        <w:rPr>
          <w:rFonts w:ascii="Times New Roman" w:hAnsi="Times New Roman" w:eastAsia="Times New Roman" w:cs="Times New Roman"/>
          <w:noProof w:val="0"/>
          <w:sz w:val="24"/>
          <w:szCs w:val="24"/>
          <w:lang w:val="de"/>
        </w:rPr>
        <w:t>Der Humanitär-Entwicklungs-Friedens-Nexus in der Arbeit der EU in den Hauptquartieren und vor Ort integriert wird.</w:t>
      </w:r>
    </w:p>
    <w:p w:rsidR="3A2B7ADE" w:rsidP="44EAB857" w:rsidRDefault="3A2B7ADE" w14:paraId="49B1FAE1" w14:textId="3AFA3110">
      <w:pPr>
        <w:spacing w:before="0" w:beforeAutospacing="off" w:after="0" w:afterAutospacing="off"/>
        <w:jc w:val="left"/>
        <w:rPr>
          <w:rFonts w:ascii="Times New Roman" w:hAnsi="Times New Roman" w:eastAsia="Times New Roman" w:cs="Times New Roman"/>
          <w:noProof w:val="0"/>
          <w:sz w:val="24"/>
          <w:szCs w:val="24"/>
          <w:lang w:val="de-DE"/>
        </w:rPr>
      </w:pPr>
      <w:r w:rsidRPr="44EAB857" w:rsidR="3A2B7ADE">
        <w:rPr>
          <w:rFonts w:ascii="Times New Roman" w:hAnsi="Times New Roman" w:eastAsia="Times New Roman" w:cs="Times New Roman"/>
          <w:noProof w:val="0"/>
          <w:sz w:val="24"/>
          <w:szCs w:val="24"/>
          <w:lang w:val="de-DE"/>
        </w:rPr>
        <w:t>•</w:t>
      </w:r>
      <w:r>
        <w:tab/>
      </w:r>
      <w:r w:rsidRPr="44EAB857" w:rsidR="3A2B7ADE">
        <w:rPr>
          <w:rFonts w:ascii="Times New Roman" w:hAnsi="Times New Roman" w:eastAsia="Times New Roman" w:cs="Times New Roman"/>
          <w:noProof w:val="0"/>
          <w:sz w:val="24"/>
          <w:szCs w:val="24"/>
          <w:lang w:val="de-DE"/>
        </w:rPr>
        <w:t>Expertise und Unterstützung für Kapazitätsaufbau bereitgestellt wird und konfliktinduktive, friedensfördernde und resilienzstärkende Ansätze in von Krisen und/oder Fragilität betroffenen Ländern sichergestellt werden.</w:t>
      </w:r>
    </w:p>
    <w:p w:rsidR="3A2B7ADE" w:rsidP="44EAB857" w:rsidRDefault="3A2B7ADE" w14:paraId="486DF1ED" w14:textId="00ED7924">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w:t>
      </w:r>
      <w:r>
        <w:tab/>
      </w:r>
      <w:r w:rsidRPr="44EAB857" w:rsidR="3A2B7ADE">
        <w:rPr>
          <w:rFonts w:ascii="Times New Roman" w:hAnsi="Times New Roman" w:eastAsia="Times New Roman" w:cs="Times New Roman"/>
          <w:noProof w:val="0"/>
          <w:sz w:val="24"/>
          <w:szCs w:val="24"/>
          <w:lang w:val="de"/>
        </w:rPr>
        <w:t>Als Zentrum für Expertise bei der Zusammenarbeit zur Reform des Sicherheitssektors (SSR), transnationale organisierte Kriminalität; Schutz kritischer Infrastruktur; Prävention und Bekämpfung von gewalttätigem Extremismus, illegalen Finanzströmen, Geldwäschebekämpfung und Bekämpfung der Terrorismusfinanzierung fungiert.</w:t>
      </w:r>
    </w:p>
    <w:p w:rsidR="3A2B7ADE" w:rsidP="44EAB857" w:rsidRDefault="3A2B7ADE" w14:paraId="51D88B74" w14:textId="1C66F9B1">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w:t>
      </w:r>
      <w:r>
        <w:tab/>
      </w:r>
      <w:r w:rsidRPr="44EAB857" w:rsidR="3A2B7ADE">
        <w:rPr>
          <w:rFonts w:ascii="Times New Roman" w:hAnsi="Times New Roman" w:eastAsia="Times New Roman" w:cs="Times New Roman"/>
          <w:noProof w:val="0"/>
          <w:sz w:val="24"/>
          <w:szCs w:val="24"/>
          <w:lang w:val="de"/>
        </w:rPr>
        <w:t>Gemeinsames Management von EU-Krisenvorbereitung und Analyseinstrumenten (z.B. EU-Konfliktfrühwarnsystem und RPBAs/PDNAs) übernommen wird.</w:t>
      </w:r>
    </w:p>
    <w:p w:rsidR="3A2B7ADE" w:rsidP="44EAB857" w:rsidRDefault="3A2B7ADE" w14:paraId="2946CCF9" w14:textId="43E88B2A">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w:t>
      </w:r>
      <w:r>
        <w:tab/>
      </w:r>
      <w:r w:rsidRPr="44EAB857" w:rsidR="3A2B7ADE">
        <w:rPr>
          <w:rFonts w:ascii="Times New Roman" w:hAnsi="Times New Roman" w:eastAsia="Times New Roman" w:cs="Times New Roman"/>
          <w:noProof w:val="0"/>
          <w:sz w:val="24"/>
          <w:szCs w:val="24"/>
          <w:lang w:val="de"/>
        </w:rPr>
        <w:t>Als zentraler Ansprechpartner und Koordinationseinheit in den genannten Bereichen mit einer Reihe von Partnern wie den Bretton-Woods-Institutionen, der OECD, und der UN (UNDP, UN Peace Building Support Office, das UN-Büro für Drogen- und Verbrechensbekämpfung, das Büro der Vereinten Nationen zur Terrorismusbekämpfung), sowie anderen spezialisierten internationalen Institutionen und Organisationen (Interpol, die Financial Action Task Force) agiert.</w:t>
      </w:r>
    </w:p>
    <w:p w:rsidR="3A2B7ADE" w:rsidP="44EAB857" w:rsidRDefault="3A2B7ADE" w14:paraId="15188727" w14:textId="7C02B2E7">
      <w:pPr>
        <w:spacing w:before="0" w:beforeAutospacing="off" w:after="0" w:afterAutospacing="off"/>
        <w:jc w:val="left"/>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xml:space="preserve"> </w:t>
      </w:r>
    </w:p>
    <w:p w:rsidR="3A2B7ADE" w:rsidP="193BCEB5" w:rsidRDefault="3A2B7ADE" w14:paraId="3BAAFDA5" w14:textId="4DFE338E">
      <w:pPr>
        <w:spacing w:before="0" w:beforeAutospacing="off" w:after="0" w:afterAutospacing="off"/>
        <w:jc w:val="left"/>
        <w:rPr>
          <w:rFonts w:ascii="Times New Roman" w:hAnsi="Times New Roman" w:eastAsia="Times New Roman" w:cs="Times New Roman"/>
          <w:noProof w:val="0"/>
          <w:sz w:val="24"/>
          <w:szCs w:val="24"/>
          <w:lang w:val="de"/>
        </w:rPr>
      </w:pPr>
      <w:r w:rsidRPr="193BCEB5" w:rsidR="3A2B7ADE">
        <w:rPr>
          <w:rFonts w:ascii="Times New Roman" w:hAnsi="Times New Roman" w:eastAsia="Times New Roman" w:cs="Times New Roman"/>
          <w:noProof w:val="0"/>
          <w:sz w:val="24"/>
          <w:szCs w:val="24"/>
          <w:lang w:val="de"/>
        </w:rPr>
        <w:t>Die Arbeit der Einheit ist Teil der allgemeinen EU-Prioritäten, einschließlich der Global Gateway-Strategie. Die Einheit besteht aus zwei voneinander abhängigen Teams (1) Frieden/Resilienz und (2) Sicherheit, die mit einer Vielzahl von Gesprächspartnern im EU-System (u.a. andere Organisationseinheiten der Europäischen Kommission, der Dienst für Außengebiete, EU-Delegationen und EU-Mitgliedstaaten...), in Partnerländern weltweit (Afrika, Lateinamerika &amp; Karibik, Asien &amp; Pazifik) sowie auf internationaler Ebene (u.a. andere multilaterale Organisationen und innerstaatlich spezialisierte Institutionen) zusammenarbeiten.</w:t>
      </w:r>
    </w:p>
    <w:p w:rsidR="193BCEB5" w:rsidP="193BCEB5" w:rsidRDefault="193BCEB5" w14:paraId="7C3A8D95" w14:textId="69157217">
      <w:pPr>
        <w:spacing w:before="0" w:beforeAutospacing="off" w:after="0" w:afterAutospacing="off"/>
        <w:jc w:val="left"/>
        <w:rPr>
          <w:rFonts w:ascii="Times New Roman" w:hAnsi="Times New Roman" w:eastAsia="Times New Roman" w:cs="Times New Roman"/>
          <w:noProof w:val="0"/>
          <w:sz w:val="24"/>
          <w:szCs w:val="24"/>
          <w:lang w:val="de"/>
        </w:rPr>
      </w:pPr>
    </w:p>
    <w:p w:rsidR="3A2B7ADE" w:rsidP="44EAB857" w:rsidRDefault="3A2B7ADE" w14:paraId="2F7C6177" w14:textId="14883761">
      <w:pPr>
        <w:tabs>
          <w:tab w:val="left" w:leader="none" w:pos="720"/>
        </w:tabs>
        <w:spacing w:before="0" w:beforeAutospacing="off" w:after="240" w:afterAutospacing="off"/>
        <w:ind w:left="709" w:right="0" w:hanging="709"/>
        <w:jc w:val="both"/>
        <w:rPr>
          <w:rFonts w:ascii="Times New Roman" w:hAnsi="Times New Roman" w:eastAsia="Times New Roman" w:cs="Times New Roman"/>
          <w:b w:val="1"/>
          <w:bCs w:val="1"/>
          <w:noProof w:val="0"/>
          <w:sz w:val="24"/>
          <w:szCs w:val="24"/>
          <w:lang w:val="de"/>
        </w:rPr>
      </w:pPr>
      <w:r w:rsidRPr="193BCEB5" w:rsidR="3A2B7ADE">
        <w:rPr>
          <w:rFonts w:ascii="Times New Roman" w:hAnsi="Times New Roman" w:eastAsia="Times New Roman" w:cs="Times New Roman"/>
          <w:b w:val="1"/>
          <w:bCs w:val="1"/>
          <w:noProof w:val="0"/>
          <w:sz w:val="24"/>
          <w:szCs w:val="24"/>
          <w:lang w:val="de"/>
        </w:rPr>
        <w:t>Stellenprofil (wir schlagen vor)</w:t>
      </w:r>
    </w:p>
    <w:p w:rsidR="3A2B7ADE" w:rsidP="44EAB857" w:rsidRDefault="3A2B7ADE" w14:paraId="731D2611" w14:textId="4F9AD56B">
      <w:pPr>
        <w:spacing w:before="0" w:beforeAutospacing="off" w:after="240" w:afterAutospacing="off"/>
        <w:jc w:val="both"/>
        <w:rPr>
          <w:rFonts w:ascii="Times New Roman" w:hAnsi="Times New Roman" w:eastAsia="Times New Roman" w:cs="Times New Roman"/>
          <w:noProof w:val="0"/>
          <w:sz w:val="24"/>
          <w:szCs w:val="24"/>
          <w:lang w:val="de"/>
        </w:rPr>
      </w:pPr>
      <w:r w:rsidRPr="193BCEB5" w:rsidR="3A2B7ADE">
        <w:rPr>
          <w:rFonts w:ascii="Times New Roman" w:hAnsi="Times New Roman" w:eastAsia="Times New Roman" w:cs="Times New Roman"/>
          <w:noProof w:val="0"/>
          <w:sz w:val="24"/>
          <w:szCs w:val="24"/>
          <w:lang w:val="de"/>
        </w:rPr>
        <w:t>Die Einheit INTPA G5 sucht einen Politikexperten für die Bereiche Frieden und Resilienz, mit besonderem Schwerpunkt auf Frauen, Frieden und Sicherheit (WPS) und Jugend, Frieden und Sicherheit (YPS). Er/Sie wird:</w:t>
      </w:r>
    </w:p>
    <w:p w:rsidR="3A2B7ADE" w:rsidP="44EAB857" w:rsidRDefault="3A2B7ADE" w14:paraId="36014559" w14:textId="46884D7B">
      <w:pPr>
        <w:spacing w:before="0" w:beforeAutospacing="off" w:after="240" w:afterAutospacing="off"/>
        <w:jc w:val="both"/>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Bei der Gestaltung, Beratung und Unterstützung der Umsetzung von Projekten und Programmen im Bereich Frieden, Resilienz und Kapazitätsaufbau in den Bereichen WPS und YPS helfen, die dazu beitragen, Fragilität und Konflikttreiber zu bekämpfen.</w:t>
      </w:r>
    </w:p>
    <w:p w:rsidR="3A2B7ADE" w:rsidP="44EAB857" w:rsidRDefault="3A2B7ADE" w14:paraId="0AE7200C" w14:textId="6BB61364">
      <w:pPr>
        <w:spacing w:before="0" w:beforeAutospacing="off" w:after="240" w:afterAutospacing="off"/>
        <w:jc w:val="both"/>
        <w:rPr>
          <w:rFonts w:ascii="Times New Roman" w:hAnsi="Times New Roman" w:eastAsia="Times New Roman" w:cs="Times New Roman"/>
          <w:noProof w:val="0"/>
          <w:sz w:val="24"/>
          <w:szCs w:val="24"/>
          <w:lang w:val="de-DE"/>
        </w:rPr>
      </w:pPr>
      <w:r w:rsidRPr="44EAB857" w:rsidR="3A2B7ADE">
        <w:rPr>
          <w:rFonts w:ascii="Times New Roman" w:hAnsi="Times New Roman" w:eastAsia="Times New Roman" w:cs="Times New Roman"/>
          <w:noProof w:val="0"/>
          <w:sz w:val="24"/>
          <w:szCs w:val="24"/>
          <w:lang w:val="de-DE"/>
        </w:rPr>
        <w:t xml:space="preserve">- EU-Delegationen weltweit und INTPA-Einheiten (insbesondere geografische Einheiten) in Fragen des Friedensaufbaus beraten und unterstützen, einschließlich als Teil des Humanitären, Entwicklungs- und Friedensnexus, verschiedener Dimensionen der Fragilität, Resilienzbvauf und Konfliktsensibilität. </w:t>
      </w:r>
    </w:p>
    <w:p w:rsidR="3A2B7ADE" w:rsidP="44EAB857" w:rsidRDefault="3A2B7ADE" w14:paraId="1C293A8A" w14:textId="12505D6F">
      <w:pPr>
        <w:spacing w:before="0" w:beforeAutospacing="off" w:after="240" w:afterAutospacing="off"/>
        <w:jc w:val="both"/>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Gemeinsame Konfliktanalysen, Konfliktsensitivität, Frühwarnungen und Risikobewertungen in fragilen und von Konflikten betroffenen Ländern und Kontexten entwerfen, organisieren und daran teilnehmen, insbesondere in solchen mit einem Fokus auf Geschlechtergerechtigkeit und Frauenrechte.</w:t>
      </w:r>
    </w:p>
    <w:p w:rsidR="3A2B7ADE" w:rsidP="44EAB857" w:rsidRDefault="3A2B7ADE" w14:paraId="5541134C" w14:textId="537E114D">
      <w:pPr>
        <w:spacing w:before="0" w:beforeAutospacing="off" w:after="240" w:afterAutospacing="off"/>
        <w:jc w:val="both"/>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Zu Stellungnahmen, Antworten auf parlamentarische Anfragen und Antworten auf Anfragen zu WPS/YPS beitragen.</w:t>
      </w:r>
    </w:p>
    <w:p w:rsidR="3A2B7ADE" w:rsidP="44EAB857" w:rsidRDefault="3A2B7ADE" w14:paraId="2914E8E5" w14:textId="597A3A33">
      <w:pPr>
        <w:spacing w:before="0" w:beforeAutospacing="off" w:after="240" w:afterAutospacing="off"/>
        <w:jc w:val="both"/>
        <w:rPr>
          <w:rFonts w:ascii="Times New Roman" w:hAnsi="Times New Roman" w:eastAsia="Times New Roman" w:cs="Times New Roman"/>
          <w:noProof w:val="0"/>
          <w:sz w:val="24"/>
          <w:szCs w:val="24"/>
          <w:lang w:val="de"/>
        </w:rPr>
      </w:pPr>
      <w:r w:rsidRPr="44EAB857" w:rsidR="3A2B7ADE">
        <w:rPr>
          <w:rFonts w:ascii="Times New Roman" w:hAnsi="Times New Roman" w:eastAsia="Times New Roman" w:cs="Times New Roman"/>
          <w:noProof w:val="0"/>
          <w:sz w:val="24"/>
          <w:szCs w:val="24"/>
          <w:lang w:val="de"/>
        </w:rPr>
        <w:t>- Die Operationalisierung des EU-Ansatzes zu WPS und YPS in relevanten Kontexten fördern und unterstützen und zu internationalen Foren beitragen, in denen WPS/YPS-Politikinitiativen diskutiert werden.</w:t>
      </w:r>
    </w:p>
    <w:p w:rsidR="3A2B7ADE" w:rsidP="44EAB857" w:rsidRDefault="3A2B7ADE" w14:paraId="3C36C24F" w14:textId="16E8A371">
      <w:pPr>
        <w:spacing w:before="0" w:beforeAutospacing="off" w:after="240" w:afterAutospacing="off"/>
        <w:jc w:val="both"/>
        <w:rPr>
          <w:rFonts w:ascii="Times New Roman" w:hAnsi="Times New Roman" w:eastAsia="Times New Roman" w:cs="Times New Roman"/>
          <w:noProof w:val="0"/>
          <w:sz w:val="24"/>
          <w:szCs w:val="24"/>
          <w:lang w:val="nl-BE"/>
        </w:rPr>
      </w:pPr>
      <w:r w:rsidRPr="44EAB857" w:rsidR="3A2B7ADE">
        <w:rPr>
          <w:rFonts w:ascii="Times New Roman" w:hAnsi="Times New Roman" w:eastAsia="Times New Roman" w:cs="Times New Roman"/>
          <w:noProof w:val="0"/>
          <w:sz w:val="24"/>
          <w:szCs w:val="24"/>
          <w:lang w:val="nl-BE"/>
        </w:rPr>
        <w:t>- An verschiedenen politischen Dialogen zu WPS- und YPS-Themen mit EU-Mitgliedstaaten und Partnerländern auf bilateraler und regionaler Ebene teilnehmen und dazu beitragen.</w:t>
      </w:r>
    </w:p>
    <w:p w:rsidR="3A2B7ADE" w:rsidP="193BCEB5" w:rsidRDefault="3A2B7ADE" w14:paraId="49472CE0" w14:textId="2830859E">
      <w:pPr>
        <w:spacing w:before="0" w:beforeAutospacing="off" w:after="240" w:afterAutospacing="off"/>
        <w:ind/>
        <w:jc w:val="both"/>
        <w:rPr>
          <w:rFonts w:ascii="Times New Roman" w:hAnsi="Times New Roman" w:eastAsia="Times New Roman" w:cs="Times New Roman"/>
          <w:noProof w:val="0"/>
          <w:sz w:val="24"/>
          <w:szCs w:val="24"/>
          <w:lang w:val="nl-BE"/>
        </w:rPr>
      </w:pPr>
      <w:r w:rsidRPr="193BCEB5" w:rsidR="3A2B7ADE">
        <w:rPr>
          <w:rFonts w:ascii="Times New Roman" w:hAnsi="Times New Roman" w:eastAsia="Times New Roman" w:cs="Times New Roman"/>
          <w:noProof w:val="0"/>
          <w:sz w:val="24"/>
          <w:szCs w:val="24"/>
          <w:lang w:val="nl-BE"/>
        </w:rPr>
        <w:t xml:space="preserve">- Eng </w:t>
      </w:r>
      <w:r w:rsidRPr="193BCEB5" w:rsidR="3A2B7ADE">
        <w:rPr>
          <w:rFonts w:ascii="Times New Roman" w:hAnsi="Times New Roman" w:eastAsia="Times New Roman" w:cs="Times New Roman"/>
          <w:noProof w:val="0"/>
          <w:sz w:val="24"/>
          <w:szCs w:val="24"/>
          <w:lang w:val="nl-BE"/>
        </w:rPr>
        <w:t>mit</w:t>
      </w:r>
      <w:r w:rsidRPr="193BCEB5" w:rsidR="3A2B7ADE">
        <w:rPr>
          <w:rFonts w:ascii="Times New Roman" w:hAnsi="Times New Roman" w:eastAsia="Times New Roman" w:cs="Times New Roman"/>
          <w:noProof w:val="0"/>
          <w:sz w:val="24"/>
          <w:szCs w:val="24"/>
          <w:lang w:val="nl-BE"/>
        </w:rPr>
        <w:t xml:space="preserve"> anderen </w:t>
      </w:r>
      <w:r w:rsidRPr="193BCEB5" w:rsidR="3A2B7ADE">
        <w:rPr>
          <w:rFonts w:ascii="Times New Roman" w:hAnsi="Times New Roman" w:eastAsia="Times New Roman" w:cs="Times New Roman"/>
          <w:noProof w:val="0"/>
          <w:sz w:val="24"/>
          <w:szCs w:val="24"/>
          <w:lang w:val="nl-BE"/>
        </w:rPr>
        <w:t>Abteilungen</w:t>
      </w:r>
      <w:r w:rsidRPr="193BCEB5" w:rsidR="3A2B7ADE">
        <w:rPr>
          <w:rFonts w:ascii="Times New Roman" w:hAnsi="Times New Roman" w:eastAsia="Times New Roman" w:cs="Times New Roman"/>
          <w:noProof w:val="0"/>
          <w:sz w:val="24"/>
          <w:szCs w:val="24"/>
          <w:lang w:val="nl-BE"/>
        </w:rPr>
        <w:t xml:space="preserve"> der </w:t>
      </w:r>
      <w:r w:rsidRPr="193BCEB5" w:rsidR="3A2B7ADE">
        <w:rPr>
          <w:rFonts w:ascii="Times New Roman" w:hAnsi="Times New Roman" w:eastAsia="Times New Roman" w:cs="Times New Roman"/>
          <w:noProof w:val="0"/>
          <w:sz w:val="24"/>
          <w:szCs w:val="24"/>
          <w:lang w:val="nl-BE"/>
        </w:rPr>
        <w:t>Europäischen</w:t>
      </w:r>
      <w:r w:rsidRPr="193BCEB5" w:rsidR="3A2B7ADE">
        <w:rPr>
          <w:rFonts w:ascii="Times New Roman" w:hAnsi="Times New Roman" w:eastAsia="Times New Roman" w:cs="Times New Roman"/>
          <w:noProof w:val="0"/>
          <w:sz w:val="24"/>
          <w:szCs w:val="24"/>
          <w:lang w:val="nl-BE"/>
        </w:rPr>
        <w:t xml:space="preserve"> Kommission </w:t>
      </w:r>
      <w:r w:rsidRPr="193BCEB5" w:rsidR="3A2B7ADE">
        <w:rPr>
          <w:rFonts w:ascii="Times New Roman" w:hAnsi="Times New Roman" w:eastAsia="Times New Roman" w:cs="Times New Roman"/>
          <w:noProof w:val="0"/>
          <w:sz w:val="24"/>
          <w:szCs w:val="24"/>
          <w:lang w:val="nl-BE"/>
        </w:rPr>
        <w:t>und</w:t>
      </w:r>
      <w:r w:rsidRPr="193BCEB5" w:rsidR="3A2B7ADE">
        <w:rPr>
          <w:rFonts w:ascii="Times New Roman" w:hAnsi="Times New Roman" w:eastAsia="Times New Roman" w:cs="Times New Roman"/>
          <w:noProof w:val="0"/>
          <w:sz w:val="24"/>
          <w:szCs w:val="24"/>
          <w:lang w:val="nl-BE"/>
        </w:rPr>
        <w:t xml:space="preserve"> </w:t>
      </w:r>
      <w:r w:rsidRPr="193BCEB5" w:rsidR="3A2B7ADE">
        <w:rPr>
          <w:rFonts w:ascii="Times New Roman" w:hAnsi="Times New Roman" w:eastAsia="Times New Roman" w:cs="Times New Roman"/>
          <w:noProof w:val="0"/>
          <w:sz w:val="24"/>
          <w:szCs w:val="24"/>
          <w:lang w:val="nl-BE"/>
        </w:rPr>
        <w:t>dem</w:t>
      </w:r>
      <w:r w:rsidRPr="193BCEB5" w:rsidR="3A2B7ADE">
        <w:rPr>
          <w:rFonts w:ascii="Times New Roman" w:hAnsi="Times New Roman" w:eastAsia="Times New Roman" w:cs="Times New Roman"/>
          <w:noProof w:val="0"/>
          <w:sz w:val="24"/>
          <w:szCs w:val="24"/>
          <w:lang w:val="nl-BE"/>
        </w:rPr>
        <w:t xml:space="preserve"> EAD/FPI </w:t>
      </w:r>
      <w:r w:rsidRPr="193BCEB5" w:rsidR="3A2B7ADE">
        <w:rPr>
          <w:rFonts w:ascii="Times New Roman" w:hAnsi="Times New Roman" w:eastAsia="Times New Roman" w:cs="Times New Roman"/>
          <w:noProof w:val="0"/>
          <w:sz w:val="24"/>
          <w:szCs w:val="24"/>
          <w:lang w:val="nl-BE"/>
        </w:rPr>
        <w:t>zusammenarbeiten</w:t>
      </w:r>
      <w:r w:rsidRPr="193BCEB5" w:rsidR="3A2B7ADE">
        <w:rPr>
          <w:rFonts w:ascii="Times New Roman" w:hAnsi="Times New Roman" w:eastAsia="Times New Roman" w:cs="Times New Roman"/>
          <w:noProof w:val="0"/>
          <w:sz w:val="24"/>
          <w:szCs w:val="24"/>
          <w:lang w:val="nl-BE"/>
        </w:rPr>
        <w:t xml:space="preserve"> </w:t>
      </w:r>
      <w:r w:rsidRPr="193BCEB5" w:rsidR="3A2B7ADE">
        <w:rPr>
          <w:rFonts w:ascii="Times New Roman" w:hAnsi="Times New Roman" w:eastAsia="Times New Roman" w:cs="Times New Roman"/>
          <w:noProof w:val="0"/>
          <w:sz w:val="24"/>
          <w:szCs w:val="24"/>
          <w:lang w:val="nl-BE"/>
        </w:rPr>
        <w:t>und</w:t>
      </w:r>
      <w:r w:rsidRPr="193BCEB5" w:rsidR="3A2B7ADE">
        <w:rPr>
          <w:rFonts w:ascii="Times New Roman" w:hAnsi="Times New Roman" w:eastAsia="Times New Roman" w:cs="Times New Roman"/>
          <w:noProof w:val="0"/>
          <w:sz w:val="24"/>
          <w:szCs w:val="24"/>
          <w:lang w:val="nl-BE"/>
        </w:rPr>
        <w:t xml:space="preserve"> bei </w:t>
      </w:r>
      <w:r w:rsidRPr="193BCEB5" w:rsidR="3A2B7ADE">
        <w:rPr>
          <w:rFonts w:ascii="Times New Roman" w:hAnsi="Times New Roman" w:eastAsia="Times New Roman" w:cs="Times New Roman"/>
          <w:noProof w:val="0"/>
          <w:sz w:val="24"/>
          <w:szCs w:val="24"/>
          <w:lang w:val="nl-BE"/>
        </w:rPr>
        <w:t>Bedarf</w:t>
      </w:r>
      <w:r w:rsidRPr="193BCEB5" w:rsidR="3A2B7ADE">
        <w:rPr>
          <w:rFonts w:ascii="Times New Roman" w:hAnsi="Times New Roman" w:eastAsia="Times New Roman" w:cs="Times New Roman"/>
          <w:noProof w:val="0"/>
          <w:sz w:val="24"/>
          <w:szCs w:val="24"/>
          <w:lang w:val="nl-BE"/>
        </w:rPr>
        <w:t xml:space="preserve"> in </w:t>
      </w:r>
      <w:r w:rsidRPr="193BCEB5" w:rsidR="3A2B7ADE">
        <w:rPr>
          <w:rFonts w:ascii="Times New Roman" w:hAnsi="Times New Roman" w:eastAsia="Times New Roman" w:cs="Times New Roman"/>
          <w:noProof w:val="0"/>
          <w:sz w:val="24"/>
          <w:szCs w:val="24"/>
          <w:lang w:val="nl-BE"/>
        </w:rPr>
        <w:t>Kontakt</w:t>
      </w:r>
      <w:r w:rsidRPr="193BCEB5" w:rsidR="3A2B7ADE">
        <w:rPr>
          <w:rFonts w:ascii="Times New Roman" w:hAnsi="Times New Roman" w:eastAsia="Times New Roman" w:cs="Times New Roman"/>
          <w:noProof w:val="0"/>
          <w:sz w:val="24"/>
          <w:szCs w:val="24"/>
          <w:lang w:val="nl-BE"/>
        </w:rPr>
        <w:t xml:space="preserve"> </w:t>
      </w:r>
      <w:r w:rsidRPr="193BCEB5" w:rsidR="3A2B7ADE">
        <w:rPr>
          <w:rFonts w:ascii="Times New Roman" w:hAnsi="Times New Roman" w:eastAsia="Times New Roman" w:cs="Times New Roman"/>
          <w:noProof w:val="0"/>
          <w:sz w:val="24"/>
          <w:szCs w:val="24"/>
          <w:lang w:val="nl-BE"/>
        </w:rPr>
        <w:t>mit</w:t>
      </w:r>
      <w:r w:rsidRPr="193BCEB5" w:rsidR="3A2B7ADE">
        <w:rPr>
          <w:rFonts w:ascii="Times New Roman" w:hAnsi="Times New Roman" w:eastAsia="Times New Roman" w:cs="Times New Roman"/>
          <w:noProof w:val="0"/>
          <w:sz w:val="24"/>
          <w:szCs w:val="24"/>
          <w:lang w:val="nl-BE"/>
        </w:rPr>
        <w:t xml:space="preserve"> externen </w:t>
      </w:r>
      <w:r w:rsidRPr="193BCEB5" w:rsidR="3A2B7ADE">
        <w:rPr>
          <w:rFonts w:ascii="Times New Roman" w:hAnsi="Times New Roman" w:eastAsia="Times New Roman" w:cs="Times New Roman"/>
          <w:noProof w:val="0"/>
          <w:sz w:val="24"/>
          <w:szCs w:val="24"/>
          <w:lang w:val="nl-BE"/>
        </w:rPr>
        <w:t>Interessengruppen</w:t>
      </w:r>
      <w:r w:rsidRPr="193BCEB5" w:rsidR="3A2B7ADE">
        <w:rPr>
          <w:rFonts w:ascii="Times New Roman" w:hAnsi="Times New Roman" w:eastAsia="Times New Roman" w:cs="Times New Roman"/>
          <w:noProof w:val="0"/>
          <w:sz w:val="24"/>
          <w:szCs w:val="24"/>
          <w:lang w:val="nl-BE"/>
        </w:rPr>
        <w:t xml:space="preserve"> </w:t>
      </w:r>
      <w:r w:rsidRPr="193BCEB5" w:rsidR="3A2B7ADE">
        <w:rPr>
          <w:rFonts w:ascii="Times New Roman" w:hAnsi="Times New Roman" w:eastAsia="Times New Roman" w:cs="Times New Roman"/>
          <w:noProof w:val="0"/>
          <w:sz w:val="24"/>
          <w:szCs w:val="24"/>
          <w:lang w:val="nl-BE"/>
        </w:rPr>
        <w:t>zu</w:t>
      </w:r>
      <w:r w:rsidRPr="193BCEB5" w:rsidR="3A2B7ADE">
        <w:rPr>
          <w:rFonts w:ascii="Times New Roman" w:hAnsi="Times New Roman" w:eastAsia="Times New Roman" w:cs="Times New Roman"/>
          <w:noProof w:val="0"/>
          <w:sz w:val="24"/>
          <w:szCs w:val="24"/>
          <w:lang w:val="nl-BE"/>
        </w:rPr>
        <w:t xml:space="preserve"> WPS </w:t>
      </w:r>
      <w:r w:rsidRPr="193BCEB5" w:rsidR="3A2B7ADE">
        <w:rPr>
          <w:rFonts w:ascii="Times New Roman" w:hAnsi="Times New Roman" w:eastAsia="Times New Roman" w:cs="Times New Roman"/>
          <w:noProof w:val="0"/>
          <w:sz w:val="24"/>
          <w:szCs w:val="24"/>
          <w:lang w:val="nl-BE"/>
        </w:rPr>
        <w:t>und</w:t>
      </w:r>
      <w:r w:rsidRPr="193BCEB5" w:rsidR="3A2B7ADE">
        <w:rPr>
          <w:rFonts w:ascii="Times New Roman" w:hAnsi="Times New Roman" w:eastAsia="Times New Roman" w:cs="Times New Roman"/>
          <w:noProof w:val="0"/>
          <w:sz w:val="24"/>
          <w:szCs w:val="24"/>
          <w:lang w:val="nl-BE"/>
        </w:rPr>
        <w:t xml:space="preserve"> YPS </w:t>
      </w:r>
      <w:r w:rsidRPr="193BCEB5" w:rsidR="3A2B7ADE">
        <w:rPr>
          <w:rFonts w:ascii="Times New Roman" w:hAnsi="Times New Roman" w:eastAsia="Times New Roman" w:cs="Times New Roman"/>
          <w:noProof w:val="0"/>
          <w:sz w:val="24"/>
          <w:szCs w:val="24"/>
          <w:lang w:val="nl-BE"/>
        </w:rPr>
        <w:t>stehen</w:t>
      </w:r>
      <w:r w:rsidRPr="193BCEB5" w:rsidR="3A2B7ADE">
        <w:rPr>
          <w:rFonts w:ascii="Times New Roman" w:hAnsi="Times New Roman" w:eastAsia="Times New Roman" w:cs="Times New Roman"/>
          <w:noProof w:val="0"/>
          <w:sz w:val="24"/>
          <w:szCs w:val="24"/>
          <w:lang w:val="nl-BE"/>
        </w:rPr>
        <w:t>.</w:t>
      </w:r>
    </w:p>
    <w:p w:rsidR="3A2B7ADE" w:rsidP="44EAB857" w:rsidRDefault="3A2B7ADE" w14:paraId="5DC25C9E" w14:textId="529CF8E1">
      <w:pPr>
        <w:tabs>
          <w:tab w:val="left" w:leader="none" w:pos="720"/>
        </w:tabs>
        <w:spacing w:before="0" w:beforeAutospacing="off" w:after="240" w:afterAutospacing="off"/>
        <w:ind w:left="709" w:right="0" w:hanging="709"/>
        <w:jc w:val="both"/>
        <w:rPr>
          <w:rFonts w:ascii="Times New Roman" w:hAnsi="Times New Roman" w:eastAsia="Times New Roman" w:cs="Times New Roman"/>
          <w:b w:val="1"/>
          <w:bCs w:val="1"/>
          <w:noProof w:val="0"/>
          <w:sz w:val="24"/>
          <w:szCs w:val="24"/>
          <w:lang w:val="de"/>
        </w:rPr>
      </w:pPr>
      <w:r w:rsidRPr="44EAB857" w:rsidR="3A2B7ADE">
        <w:rPr>
          <w:rFonts w:ascii="Times New Roman" w:hAnsi="Times New Roman" w:eastAsia="Times New Roman" w:cs="Times New Roman"/>
          <w:b w:val="1"/>
          <w:bCs w:val="1"/>
          <w:noProof w:val="0"/>
          <w:sz w:val="24"/>
          <w:szCs w:val="24"/>
          <w:lang w:val="de"/>
        </w:rPr>
        <w:t>Auswahlkriterien (wir suchen)</w:t>
      </w:r>
    </w:p>
    <w:p w:rsidR="3A2B7ADE" w:rsidP="44EAB857" w:rsidRDefault="3A2B7ADE" w14:paraId="4DA2B42B" w14:textId="6B59A7AB">
      <w:pPr>
        <w:spacing w:before="0" w:beforeAutospacing="off" w:after="240" w:afterAutospacing="off"/>
        <w:jc w:val="both"/>
        <w:rPr>
          <w:rFonts w:ascii="Times New Roman" w:hAnsi="Times New Roman" w:eastAsia="Times New Roman" w:cs="Times New Roman"/>
          <w:noProof w:val="0"/>
          <w:sz w:val="24"/>
          <w:szCs w:val="24"/>
          <w:lang w:val="nl-BE"/>
        </w:rPr>
      </w:pPr>
      <w:r w:rsidRPr="44EAB857" w:rsidR="3A2B7ADE">
        <w:rPr>
          <w:rFonts w:ascii="Times New Roman" w:hAnsi="Times New Roman" w:eastAsia="Times New Roman" w:cs="Times New Roman"/>
          <w:noProof w:val="0"/>
          <w:sz w:val="24"/>
          <w:szCs w:val="24"/>
          <w:lang w:val="de"/>
        </w:rPr>
        <w:t xml:space="preserve">Wir suchen einen Kandidaten mit einem Masterabschluss (oder einem gleichwertigen Diplom) in Wirtschaftswissenschaften oder Sozialwissenschaften, beispielsweise Politikwissenschaft, Jura, Wirtschaft, internationale Beziehungen, Friedens- und Konfliktforschung, Entwicklungsstudien, Sicherheitsstudien oder gleichwertiger Erfahrung. </w:t>
      </w:r>
      <w:r w:rsidRPr="44EAB857" w:rsidR="3A2B7ADE">
        <w:rPr>
          <w:rFonts w:ascii="Times New Roman" w:hAnsi="Times New Roman" w:eastAsia="Times New Roman" w:cs="Times New Roman"/>
          <w:noProof w:val="0"/>
          <w:sz w:val="24"/>
          <w:szCs w:val="24"/>
          <w:lang w:val="nl-BE"/>
        </w:rPr>
        <w:t>Er/Sie sollte Erfahrung in WPS- und/oder YPS-Themen haben, insbesondere in Bezug auf fragile und von Konflikten/Krisen betroffene Länder. Starke analytische Fähigkeiten sind erforderlich.</w:t>
      </w:r>
    </w:p>
    <w:p w:rsidR="44EAB857" w:rsidP="44EAB857" w:rsidRDefault="44EAB857" w14:paraId="470A3EA0" w14:textId="14853F15">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0475EE"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0475EE"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0475EE"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0475EE"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0475EE"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0475EE"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0475EE"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0475EE"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0475EE"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0475EE"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475EE"/>
    <w:rsid w:val="00055A0B"/>
    <w:rsid w:val="000A58EA"/>
    <w:rsid w:val="00133924"/>
    <w:rsid w:val="0014561B"/>
    <w:rsid w:val="00154EEE"/>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93BCEB5"/>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2B7ADE"/>
    <w:rsid w:val="3A5C8159"/>
    <w:rsid w:val="3AC20AC9"/>
    <w:rsid w:val="3C2D33B5"/>
    <w:rsid w:val="3D4F6340"/>
    <w:rsid w:val="42A89311"/>
    <w:rsid w:val="42F8B7FF"/>
    <w:rsid w:val="446DECDE"/>
    <w:rsid w:val="44EAB857"/>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12303C6"/>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92E36E43-28A1-47AD-AA52-2070089F95A3}"/>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4</revision>
  <dcterms:created xsi:type="dcterms:W3CDTF">2025-11-13T17:24:00.0000000Z</dcterms:created>
  <dcterms:modified xsi:type="dcterms:W3CDTF">2025-11-17T13:53:39.7992107Z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