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customXml/itemProps1.xml" ContentType="application/vnd.openxmlformats-officedocument.customXmlPropertie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word/fontTable.xml" ContentType="application/vnd.openxmlformats-officedocument.wordprocessingml.fontTable+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tbl>
      <w:tblPr>
        <w:tblStyle w:val="TableLetterhead"/>
        <w:tblW w:w="9480" w:type="dxa"/>
        <w:tblLook w:val="0480" w:firstRow="0" w:lastRow="0" w:firstColumn="1" w:lastColumn="0" w:noHBand="0"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1594357984"/>
        </w:sdtPr>
        <w:sdtEndPr/>
        <w:sdtContent>
          <w:tr w:rsidR="00F6462F" w14:paraId="0234CF48" w14:textId="77777777">
            <w:trPr>
              <w:cantSplit/>
            </w:trPr>
            <w:tc>
              <w:tcPr>
                <w:tcW w:w="2400" w:type="dxa"/>
              </w:tcPr>
              <w:p w:rsidR="00F6462F" w:rsidRDefault="00F4683D" w14:paraId="04240299" w14:textId="77777777">
                <w:pPr>
                  <w:pStyle w:val="ZFlag"/>
                </w:pPr>
                <w:r>
                  <w:rPr>
                    <w:noProof/>
                  </w:rPr>
                  <w:drawing>
                    <wp:inline distT="0" distB="0" distL="0" distR="0" wp14:anchorId="7CC69960" wp14:editId="69F6EF3C">
                      <wp:extent cx="1371600" cy="676800"/>
                      <wp:effectExtent l="0" t="0" r="0" b="0"/>
                      <wp:docPr id="1"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rsidR="00F6462F" w:rsidRDefault="009771B9" w14:paraId="748453DD" w14:textId="77777777">
                <w:pPr>
                  <w:pStyle w:val="ZCom"/>
                </w:pPr>
                <w:sdt>
                  <w:sdtPr>
                    <w:id w:val="1852987933"/>
                    <w:dataBinding w:xpath="/Texts/OrgaRoot" w:storeItemID="{4EF90DE6-88B6-4264-9629-4D8DFDFE87D2}"/>
                    <w:text w:multiLine="1"/>
                  </w:sdtPr>
                  <w:sdtEndPr/>
                  <w:sdtContent>
                    <w:r w:rsidR="00A033AD">
                      <w:t>EUROPEAN COMMISSION</w:t>
                    </w:r>
                  </w:sdtContent>
                </w:sdt>
              </w:p>
              <w:p w:rsidR="000A4668" w:rsidP="000D129C" w:rsidRDefault="000A4668" w14:paraId="2A21A594" w14:textId="77777777">
                <w:pPr>
                  <w:pStyle w:val="ZDGName"/>
                  <w:rPr>
                    <w:b/>
                  </w:rPr>
                </w:pPr>
              </w:p>
              <w:p w:rsidR="00F6462F" w:rsidP="000A4668" w:rsidRDefault="00F6462F" w14:paraId="32A1BF4E" w14:textId="2AF8DF79">
                <w:pPr>
                  <w:pStyle w:val="ZDGName"/>
                  <w:rPr>
                    <w:b/>
                  </w:rPr>
                </w:pPr>
              </w:p>
            </w:tc>
          </w:tr>
        </w:sdtContent>
      </w:sdt>
    </w:tbl>
    <w:p w:rsidR="00F6462F" w:rsidP="008D02B7" w:rsidRDefault="000A4668" w14:paraId="2EA71B94" w14:textId="7F00DE5D">
      <w:pPr>
        <w:pStyle w:val="NoteHead"/>
        <w:spacing w:before="600" w:after="600"/>
      </w:pPr>
      <w:r>
        <w:t>VACANCY NOTICE FOR A POST OF SECONDED NATIONAL EXPERT</w:t>
      </w:r>
    </w:p>
    <w:tbl>
      <w:tblPr>
        <w:tblStyle w:val="TableGrid"/>
        <w:tblW w:w="0" w:type="auto"/>
        <w:tblLayout w:type="fixed"/>
        <w:tblLook w:val="04A0" w:firstRow="1" w:lastRow="0" w:firstColumn="1" w:lastColumn="0" w:noHBand="0" w:noVBand="1"/>
      </w:tblPr>
      <w:tblGrid>
        <w:gridCol w:w="3111"/>
        <w:gridCol w:w="5491"/>
      </w:tblGrid>
      <w:tr w:rsidRPr="00AF417C" w:rsidR="00B65513" w:rsidTr="2CEF1B8C" w14:paraId="6C83529A" w14:textId="77777777">
        <w:tc>
          <w:tcPr>
            <w:tcW w:w="3111" w:type="dxa"/>
            <w:tcMar/>
          </w:tcPr>
          <w:p w:rsidRPr="0007110E" w:rsidR="00B65513" w:rsidP="00DF1E49" w:rsidRDefault="00B65513" w14:paraId="6D76206F" w14:textId="2B783D2D">
            <w:pPr>
              <w:tabs>
                <w:tab w:val="left" w:pos="426"/>
              </w:tabs>
              <w:rPr>
                <w:bCs/>
                <w:lang w:val="en-IE" w:eastAsia="en-GB"/>
              </w:rPr>
            </w:pPr>
            <w:bookmarkStart w:name="_Hlk132128466" w:id="0"/>
            <w:r w:rsidRPr="0007110E">
              <w:rPr>
                <w:bCs/>
                <w:lang w:val="en-IE" w:eastAsia="en-GB"/>
              </w:rPr>
              <w:t>DG – D</w:t>
            </w:r>
            <w:r w:rsidRPr="0007110E" w:rsidR="005D1B85">
              <w:rPr>
                <w:bCs/>
                <w:lang w:val="en-IE" w:eastAsia="en-GB"/>
              </w:rPr>
              <w:t>irectorate</w:t>
            </w:r>
            <w:r w:rsidRPr="0007110E">
              <w:rPr>
                <w:bCs/>
                <w:lang w:val="en-IE" w:eastAsia="en-GB"/>
              </w:rPr>
              <w:t xml:space="preserve"> – U</w:t>
            </w:r>
            <w:r w:rsidRPr="0007110E" w:rsidR="005D1B85">
              <w:rPr>
                <w:bCs/>
                <w:lang w:val="en-IE" w:eastAsia="en-GB"/>
              </w:rPr>
              <w:t>nit</w:t>
            </w:r>
          </w:p>
        </w:tc>
        <w:sdt>
          <w:sdtPr>
            <w:id w:val="-1729989648"/>
            <w:placeholder>
              <w:docPart w:val="70AAD37E9A1F4B5EA5C1270588299908"/>
            </w:placeholder>
            <w:rPr>
              <w:lang w:val="en-IE" w:eastAsia="en-GB"/>
            </w:rPr>
          </w:sdtPr>
          <w:sdtEndPr>
            <w:rPr>
              <w:lang w:val="en-IE" w:eastAsia="en-GB"/>
            </w:rPr>
          </w:sdtEndPr>
          <w:sdtContent>
            <w:tc>
              <w:tcPr>
                <w:tcW w:w="5491" w:type="dxa"/>
                <w:tcMar/>
              </w:tcPr>
              <w:p w:rsidRPr="0007110E" w:rsidR="00B65513" w:rsidP="00DF1E49" w:rsidRDefault="008E64C2" w14:paraId="786241CD" w14:textId="4CC29F17">
                <w:pPr>
                  <w:tabs>
                    <w:tab w:val="left" w:pos="426"/>
                  </w:tabs>
                  <w:rPr>
                    <w:bCs/>
                    <w:lang w:val="en-IE" w:eastAsia="en-GB"/>
                  </w:rPr>
                </w:pPr>
                <w:r>
                  <w:rPr>
                    <w:bCs/>
                    <w:lang w:val="en-IE" w:eastAsia="en-GB"/>
                  </w:rPr>
                  <w:t>COMP – F4</w:t>
                </w:r>
              </w:p>
            </w:tc>
          </w:sdtContent>
        </w:sdt>
      </w:tr>
      <w:tr w:rsidRPr="00AF417C" w:rsidR="00D96984" w:rsidTr="2CEF1B8C" w14:paraId="4B8EFB62" w14:textId="77777777">
        <w:tc>
          <w:tcPr>
            <w:tcW w:w="3111" w:type="dxa"/>
            <w:tcMar/>
          </w:tcPr>
          <w:p w:rsidRPr="0007110E" w:rsidR="00D96984" w:rsidP="00DF1E49" w:rsidRDefault="00D96984" w14:paraId="51EA5B20" w14:textId="30D9C7F2">
            <w:pPr>
              <w:tabs>
                <w:tab w:val="left" w:pos="426"/>
              </w:tabs>
              <w:rPr>
                <w:bCs/>
                <w:lang w:val="en-IE" w:eastAsia="en-GB"/>
              </w:rPr>
            </w:pPr>
            <w:r w:rsidRPr="0007110E">
              <w:rPr>
                <w:bCs/>
                <w:lang w:val="en-IE" w:eastAsia="en-GB"/>
              </w:rPr>
              <w:t>Post number in sysper:</w:t>
            </w:r>
          </w:p>
        </w:tc>
        <w:sdt>
          <w:sdtPr>
            <w:id w:val="-686597872"/>
            <w:placeholder>
              <w:docPart w:val="722A130BB2FD42CB99AF58537814D26D"/>
            </w:placeholder>
            <w:rPr>
              <w:lang w:val="en-IE" w:eastAsia="en-GB"/>
            </w:rPr>
          </w:sdtPr>
          <w:sdtEndPr>
            <w:rPr>
              <w:lang w:val="en-IE" w:eastAsia="en-GB"/>
            </w:rPr>
          </w:sdtEndPr>
          <w:sdtContent>
            <w:tc>
              <w:tcPr>
                <w:tcW w:w="5491" w:type="dxa"/>
                <w:tcMar/>
              </w:tcPr>
              <w:p w:rsidRPr="0007110E" w:rsidR="00D96984" w:rsidP="00DF1E49" w:rsidRDefault="009771B9" w14:paraId="26B6BD75" w14:textId="50C49853">
                <w:pPr>
                  <w:tabs>
                    <w:tab w:val="left" w:pos="426"/>
                  </w:tabs>
                  <w:rPr>
                    <w:bCs/>
                    <w:lang w:val="en-IE" w:eastAsia="en-GB"/>
                  </w:rPr>
                </w:pPr>
                <w:r>
                  <w:rPr>
                    <w:bCs/>
                    <w:lang w:val="en-IE" w:eastAsia="en-GB"/>
                  </w:rPr>
                  <w:t>90323</w:t>
                </w:r>
              </w:p>
            </w:tc>
          </w:sdtContent>
        </w:sdt>
      </w:tr>
      <w:tr w:rsidRPr="00AF417C" w:rsidR="00E21DBD" w:rsidTr="2CEF1B8C" w14:paraId="4E8359D5" w14:textId="77777777">
        <w:tc>
          <w:tcPr>
            <w:tcW w:w="3111" w:type="dxa"/>
            <w:tcMar/>
          </w:tcPr>
          <w:p w:rsidRPr="0007110E" w:rsidR="00E21DBD" w:rsidP="00E21DBD" w:rsidRDefault="00B65513" w14:paraId="72A7A894" w14:textId="1DC6A465">
            <w:pPr>
              <w:tabs>
                <w:tab w:val="left" w:pos="1697"/>
              </w:tabs>
              <w:ind w:right="-1739"/>
              <w:contextualSpacing/>
              <w:rPr>
                <w:bCs/>
                <w:szCs w:val="24"/>
                <w:lang w:val="en-US" w:eastAsia="en-GB"/>
              </w:rPr>
            </w:pPr>
            <w:r w:rsidRPr="0007110E">
              <w:rPr>
                <w:bCs/>
                <w:szCs w:val="24"/>
                <w:lang w:val="en-US" w:eastAsia="en-GB"/>
              </w:rPr>
              <w:t>Contact person</w:t>
            </w:r>
            <w:r w:rsidRPr="0007110E" w:rsidR="00E21DBD">
              <w:rPr>
                <w:bCs/>
                <w:szCs w:val="24"/>
                <w:lang w:val="en-US" w:eastAsia="en-GB"/>
              </w:rPr>
              <w:t>:</w:t>
            </w:r>
          </w:p>
          <w:p w:rsidRPr="0007110E" w:rsidR="00DF1E49" w:rsidP="00E21DBD" w:rsidRDefault="00DF1E49" w14:paraId="48F411DD" w14:textId="77777777">
            <w:pPr>
              <w:tabs>
                <w:tab w:val="left" w:pos="1697"/>
              </w:tabs>
              <w:ind w:right="-1739"/>
              <w:contextualSpacing/>
              <w:rPr>
                <w:bCs/>
                <w:szCs w:val="24"/>
                <w:lang w:val="en-US" w:eastAsia="en-GB"/>
              </w:rPr>
            </w:pPr>
          </w:p>
          <w:p w:rsidRPr="0007110E" w:rsidR="00E21DBD" w:rsidP="00E21DBD" w:rsidRDefault="00C75BA4" w14:paraId="1BD76B84" w14:textId="2ED3769A">
            <w:pPr>
              <w:tabs>
                <w:tab w:val="left" w:pos="1697"/>
              </w:tabs>
              <w:ind w:right="-1739"/>
              <w:contextualSpacing/>
              <w:rPr>
                <w:bCs/>
                <w:szCs w:val="24"/>
                <w:lang w:val="en-US" w:eastAsia="en-GB"/>
              </w:rPr>
            </w:pPr>
            <w:r w:rsidRPr="0007110E">
              <w:rPr>
                <w:bCs/>
                <w:szCs w:val="24"/>
                <w:lang w:val="en-US" w:eastAsia="en-GB"/>
              </w:rPr>
              <w:t>Provisional</w:t>
            </w:r>
            <w:r w:rsidRPr="0007110E" w:rsidR="00E21DBD">
              <w:rPr>
                <w:bCs/>
                <w:szCs w:val="24"/>
                <w:lang w:val="en-US" w:eastAsia="en-GB"/>
              </w:rPr>
              <w:t xml:space="preserve"> </w:t>
            </w:r>
            <w:r w:rsidRPr="0007110E">
              <w:rPr>
                <w:bCs/>
                <w:szCs w:val="24"/>
                <w:lang w:val="en-US" w:eastAsia="en-GB"/>
              </w:rPr>
              <w:t>starting date</w:t>
            </w:r>
            <w:r w:rsidRPr="0007110E" w:rsidR="00E21DBD">
              <w:rPr>
                <w:bCs/>
                <w:szCs w:val="24"/>
                <w:lang w:val="en-US" w:eastAsia="en-GB"/>
              </w:rPr>
              <w:t>:</w:t>
            </w:r>
          </w:p>
          <w:p w:rsidRPr="0007110E" w:rsidR="00E21DBD" w:rsidP="00E21DBD" w:rsidRDefault="00C75BA4" w14:paraId="324479C0" w14:textId="6E052826">
            <w:pPr>
              <w:tabs>
                <w:tab w:val="left" w:pos="1697"/>
              </w:tabs>
              <w:ind w:right="-1739"/>
              <w:contextualSpacing/>
              <w:rPr>
                <w:bCs/>
                <w:szCs w:val="24"/>
                <w:lang w:val="en-US" w:eastAsia="en-GB"/>
              </w:rPr>
            </w:pPr>
            <w:r w:rsidRPr="0007110E">
              <w:rPr>
                <w:bCs/>
                <w:szCs w:val="24"/>
                <w:lang w:val="en-US" w:eastAsia="en-GB"/>
              </w:rPr>
              <w:t>I</w:t>
            </w:r>
            <w:r w:rsidRPr="0007110E" w:rsidR="00E21DBD">
              <w:rPr>
                <w:bCs/>
                <w:szCs w:val="24"/>
                <w:lang w:val="en-US" w:eastAsia="en-GB"/>
              </w:rPr>
              <w:t>nitial duration:</w:t>
            </w:r>
          </w:p>
          <w:p w:rsidRPr="0007110E" w:rsidR="00E21DBD" w:rsidP="00E21DBD" w:rsidRDefault="00E21DBD" w14:paraId="07FF8994" w14:textId="77777777">
            <w:pPr>
              <w:tabs>
                <w:tab w:val="left" w:pos="426"/>
              </w:tabs>
              <w:spacing w:after="0"/>
              <w:contextualSpacing/>
              <w:rPr>
                <w:bCs/>
                <w:lang w:val="en-IE" w:eastAsia="en-GB"/>
              </w:rPr>
            </w:pPr>
            <w:r w:rsidRPr="0007110E">
              <w:rPr>
                <w:bCs/>
                <w:szCs w:val="24"/>
                <w:lang w:val="en-US" w:eastAsia="en-GB"/>
              </w:rPr>
              <w:t>Place of secondment:</w:t>
            </w:r>
          </w:p>
        </w:tc>
        <w:tc>
          <w:tcPr>
            <w:tcW w:w="5491" w:type="dxa"/>
            <w:tcMar/>
          </w:tcPr>
          <w:sdt>
            <w:sdtPr>
              <w:id w:val="226507670"/>
              <w:placeholder>
                <w:docPart w:val="E4139A8A81AD41B0A456F71CC855670B"/>
              </w:placeholder>
              <w:rPr>
                <w:lang w:val="en-IE" w:eastAsia="en-GB"/>
              </w:rPr>
            </w:sdtPr>
            <w:sdtEndPr>
              <w:rPr>
                <w:lang w:val="en-IE" w:eastAsia="en-GB"/>
              </w:rPr>
            </w:sdtEndPr>
            <w:sdtContent>
              <w:p w:rsidRPr="0007110E" w:rsidR="00E21DBD" w:rsidP="00E21DBD" w:rsidRDefault="00E27AB5" w14:paraId="714DA989" w14:textId="2B4D8BB3">
                <w:pPr>
                  <w:tabs>
                    <w:tab w:val="left" w:pos="426"/>
                  </w:tabs>
                  <w:rPr>
                    <w:bCs/>
                    <w:lang w:val="en-IE" w:eastAsia="en-GB"/>
                  </w:rPr>
                </w:pPr>
                <w:r>
                  <w:rPr>
                    <w:bCs/>
                    <w:lang w:val="en-IE" w:eastAsia="en-GB"/>
                  </w:rPr>
                  <w:t>Marco Ramondino</w:t>
                </w:r>
              </w:p>
            </w:sdtContent>
          </w:sdt>
          <w:p w:rsidRPr="0007110E" w:rsidR="00E21DBD" w:rsidP="00E21DBD" w:rsidRDefault="009771B9" w14:paraId="34CF737A" w14:textId="4E92726E">
            <w:pPr>
              <w:tabs>
                <w:tab w:val="left" w:pos="426"/>
              </w:tabs>
              <w:contextualSpacing/>
              <w:rPr>
                <w:bCs/>
                <w:lang w:val="en-IE" w:eastAsia="en-GB"/>
              </w:rPr>
            </w:pPr>
            <w:sdt>
              <w:sdtPr>
                <w:rPr>
                  <w:bCs/>
                  <w:lang w:val="en-IE" w:eastAsia="en-GB"/>
                </w:rPr>
                <w:id w:val="1175461244"/>
                <w:placeholder>
                  <w:docPart w:val="DefaultPlaceholder_-1854013440"/>
                </w:placeholder>
              </w:sdtPr>
              <w:sdtEndPr/>
              <w:sdtContent>
                <w:r w:rsidR="00E27AB5">
                  <w:rPr>
                    <w:bCs/>
                    <w:lang w:val="en-IE" w:eastAsia="en-GB"/>
                  </w:rPr>
                  <w:t>1</w:t>
                </w:r>
                <w:r w:rsidR="00E27AB5">
                  <w:rPr>
                    <w:bCs/>
                    <w:vertAlign w:val="superscript"/>
                    <w:lang w:val="en-IE" w:eastAsia="en-GB"/>
                  </w:rPr>
                  <w:t xml:space="preserve">st </w:t>
                </w:r>
              </w:sdtContent>
            </w:sdt>
            <w:r w:rsidRPr="0007110E" w:rsidR="00E21DBD">
              <w:rPr>
                <w:bCs/>
                <w:lang w:val="en-IE" w:eastAsia="en-GB"/>
              </w:rPr>
              <w:t xml:space="preserve"> quarter 20</w:t>
            </w:r>
            <w:r w:rsidRPr="0007110E" w:rsidR="00DF1E49">
              <w:rPr>
                <w:bCs/>
                <w:lang w:val="en-IE" w:eastAsia="en-GB"/>
              </w:rPr>
              <w:t>2</w:t>
            </w:r>
            <w:r w:rsidR="009902D6">
              <w:rPr>
                <w:bCs/>
                <w:lang w:val="en-IE" w:eastAsia="en-GB"/>
              </w:rPr>
              <w:t>6</w:t>
            </w:r>
          </w:p>
          <w:p w:rsidRPr="0007110E" w:rsidR="00E21DBD" w:rsidP="00994062" w:rsidRDefault="009771B9" w14:paraId="158DD156" w14:textId="64BF8921">
            <w:pPr>
              <w:tabs>
                <w:tab w:val="left" w:pos="426"/>
              </w:tabs>
              <w:contextualSpacing/>
              <w:jc w:val="left"/>
              <w:rPr>
                <w:bCs/>
                <w:szCs w:val="24"/>
                <w:lang w:eastAsia="en-GB"/>
              </w:rPr>
            </w:pPr>
            <w:sdt>
              <w:sdtPr>
                <w:rPr>
                  <w:bCs/>
                  <w:lang w:val="en-IE" w:eastAsia="en-GB"/>
                </w:rPr>
                <w:id w:val="202528730"/>
                <w:placeholder>
                  <w:docPart w:val="DefaultPlaceholder_-1854013440"/>
                </w:placeholder>
              </w:sdtPr>
              <w:sdtEndPr/>
              <w:sdtContent>
                <w:r w:rsidR="008E64C2">
                  <w:rPr>
                    <w:bCs/>
                    <w:lang w:val="en-IE" w:eastAsia="en-GB"/>
                  </w:rPr>
                  <w:t>2</w:t>
                </w:r>
              </w:sdtContent>
            </w:sdt>
            <w:r w:rsidRPr="0007110E" w:rsidR="00E21DBD">
              <w:rPr>
                <w:bCs/>
                <w:lang w:val="en-IE" w:eastAsia="en-GB"/>
              </w:rPr>
              <w:t xml:space="preserve"> years</w:t>
            </w:r>
            <w:r w:rsidRPr="0007110E" w:rsidR="00E21DBD">
              <w:rPr>
                <w:bCs/>
                <w:lang w:val="en-IE" w:eastAsia="en-GB"/>
              </w:rPr>
              <w:br/>
            </w:r>
            <w:sdt>
              <w:sdtPr>
                <w:rPr>
                  <w:bCs/>
                  <w:szCs w:val="24"/>
                  <w:lang w:eastAsia="en-GB"/>
                </w:rPr>
                <w:id w:val="-69433268"/>
                <w14:checkbox>
                  <w14:checked w14:val="1"/>
                  <w14:checkedState w14:val="2612" w14:font="MS Gothic"/>
                  <w14:uncheckedState w14:val="2610" w14:font="MS Gothic"/>
                </w14:checkbox>
              </w:sdtPr>
              <w:sdtEndPr/>
              <w:sdtContent>
                <w:r w:rsidR="008E64C2">
                  <w:rPr>
                    <w:rFonts w:hint="eastAsia" w:ascii="MS Gothic" w:hAnsi="MS Gothic" w:eastAsia="MS Gothic"/>
                    <w:bCs/>
                    <w:szCs w:val="24"/>
                    <w:lang w:eastAsia="en-GB"/>
                  </w:rPr>
                  <w:t>☒</w:t>
                </w:r>
              </w:sdtContent>
            </w:sdt>
            <w:r w:rsidRPr="0007110E" w:rsidR="00E21DBD">
              <w:rPr>
                <w:bCs/>
                <w:lang w:val="en-IE" w:eastAsia="en-GB"/>
              </w:rPr>
              <w:t xml:space="preserve"> Brussels</w:t>
            </w:r>
            <w:r w:rsidRPr="0007110E" w:rsidR="00994062">
              <w:rPr>
                <w:bCs/>
                <w:lang w:val="en-IE" w:eastAsia="en-GB"/>
              </w:rPr>
              <w:t xml:space="preserve">  </w:t>
            </w:r>
            <w:sdt>
              <w:sdtPr>
                <w:rPr>
                  <w:bCs/>
                  <w:szCs w:val="24"/>
                  <w:lang w:eastAsia="en-GB"/>
                </w:rPr>
                <w:id w:val="1282158214"/>
                <w14:checkbox>
                  <w14:checked w14:val="0"/>
                  <w14:checkedState w14:val="2612" w14:font="MS Gothic"/>
                  <w14:uncheckedState w14:val="2610" w14:font="MS Gothic"/>
                </w14:checkbox>
              </w:sdtPr>
              <w:sdtEndPr/>
              <w:sdtContent>
                <w:r w:rsidR="00D448C3">
                  <w:rPr>
                    <w:rFonts w:hint="eastAsia" w:ascii="MS Gothic" w:hAnsi="MS Gothic" w:eastAsia="MS Gothic"/>
                    <w:bCs/>
                    <w:szCs w:val="24"/>
                    <w:lang w:eastAsia="en-GB"/>
                  </w:rPr>
                  <w:t>☐</w:t>
                </w:r>
              </w:sdtContent>
            </w:sdt>
            <w:r w:rsidRPr="0007110E" w:rsidR="00E21DBD">
              <w:rPr>
                <w:bCs/>
                <w:szCs w:val="24"/>
                <w:lang w:eastAsia="en-GB"/>
              </w:rPr>
              <w:t xml:space="preserve"> Luxemburg</w:t>
            </w:r>
            <w:r w:rsidRPr="0007110E" w:rsidR="00994062">
              <w:rPr>
                <w:bCs/>
                <w:szCs w:val="24"/>
                <w:lang w:eastAsia="en-GB"/>
              </w:rPr>
              <w:t xml:space="preserve">   </w:t>
            </w:r>
            <w:sdt>
              <w:sdtPr>
                <w:rPr>
                  <w:bCs/>
                  <w:szCs w:val="24"/>
                  <w:lang w:eastAsia="en-GB"/>
                </w:rPr>
                <w:id w:val="-432676822"/>
                <w14:checkbox>
                  <w14:checked w14:val="0"/>
                  <w14:checkedState w14:val="2612" w14:font="MS Gothic"/>
                  <w14:uncheckedState w14:val="2610" w14:font="MS Gothic"/>
                </w14:checkbox>
              </w:sdtPr>
              <w:sdtEndPr/>
              <w:sdtContent>
                <w:r w:rsidRPr="0007110E" w:rsidR="002109E6">
                  <w:rPr>
                    <w:rFonts w:hint="eastAsia" w:ascii="MS Gothic" w:hAnsi="MS Gothic" w:eastAsia="MS Gothic"/>
                    <w:bCs/>
                    <w:szCs w:val="24"/>
                    <w:lang w:eastAsia="en-GB"/>
                  </w:rPr>
                  <w:t>☐</w:t>
                </w:r>
              </w:sdtContent>
            </w:sdt>
            <w:r w:rsidRPr="0007110E" w:rsidR="00E21DBD">
              <w:rPr>
                <w:bCs/>
                <w:szCs w:val="24"/>
                <w:lang w:eastAsia="en-GB"/>
              </w:rPr>
              <w:t xml:space="preserve"> Other: </w:t>
            </w:r>
            <w:sdt>
              <w:sdtPr>
                <w:rPr>
                  <w:bCs/>
                  <w:szCs w:val="24"/>
                  <w:lang w:eastAsia="en-GB"/>
                </w:rPr>
                <w:id w:val="-186994276"/>
                <w:placeholder>
                  <w:docPart w:val="DefaultPlaceholder_-1854013440"/>
                </w:placeholder>
              </w:sdtPr>
              <w:sdtEndPr/>
              <w:sdtContent>
                <w:r>
                  <w:rPr>
                    <w:bCs/>
                    <w:szCs w:val="24"/>
                    <w:lang w:eastAsia="en-GB"/>
                  </w:rPr>
                  <w:t xml:space="preserve"> </w:t>
                </w:r>
              </w:sdtContent>
            </w:sdt>
          </w:p>
          <w:p w:rsidRPr="0007110E" w:rsidR="00E21DBD" w:rsidP="00E21DBD" w:rsidRDefault="00E21DBD" w14:paraId="7CA484B0" w14:textId="77777777">
            <w:pPr>
              <w:tabs>
                <w:tab w:val="left" w:pos="426"/>
              </w:tabs>
              <w:spacing w:after="0"/>
              <w:contextualSpacing/>
              <w:rPr>
                <w:bCs/>
                <w:lang w:val="en-IE" w:eastAsia="en-GB"/>
              </w:rPr>
            </w:pPr>
          </w:p>
        </w:tc>
      </w:tr>
      <w:tr w:rsidRPr="00AF417C" w:rsidR="00E21DBD" w:rsidTr="2CEF1B8C" w14:paraId="01F2BC57" w14:textId="77777777">
        <w:tc>
          <w:tcPr>
            <w:tcW w:w="3111" w:type="dxa"/>
            <w:tcMar/>
          </w:tcPr>
          <w:p w:rsidRPr="0007110E" w:rsidR="00E21DBD" w:rsidP="0001660A" w:rsidRDefault="00E21DBD" w14:paraId="201A3100" w14:textId="77777777">
            <w:pPr>
              <w:tabs>
                <w:tab w:val="left" w:pos="426"/>
              </w:tabs>
              <w:spacing w:after="0"/>
              <w:rPr>
                <w:bCs/>
                <w:lang w:val="en-IE" w:eastAsia="en-GB"/>
              </w:rPr>
            </w:pPr>
          </w:p>
        </w:tc>
        <w:tc>
          <w:tcPr>
            <w:tcW w:w="5491" w:type="dxa"/>
            <w:tcMar/>
          </w:tcPr>
          <w:p w:rsidRPr="0007110E" w:rsidR="00E21DBD" w:rsidP="00DF1E49" w:rsidRDefault="009771B9" w14:paraId="6B14399A" w14:textId="174DA879">
            <w:pPr>
              <w:tabs>
                <w:tab w:val="left" w:pos="426"/>
              </w:tabs>
              <w:rPr>
                <w:bCs/>
                <w:lang w:val="en-IE" w:eastAsia="en-GB"/>
              </w:rPr>
            </w:pPr>
            <w:sdt>
              <w:sdtPr>
                <w:rPr>
                  <w:bCs/>
                  <w:szCs w:val="24"/>
                  <w:lang w:eastAsia="en-GB"/>
                </w:rPr>
                <w:id w:val="269588133"/>
                <w14:checkbox>
                  <w14:checked w14:val="1"/>
                  <w14:checkedState w14:val="2612" w14:font="MS Gothic"/>
                  <w14:uncheckedState w14:val="2610" w14:font="MS Gothic"/>
                </w14:checkbox>
              </w:sdtPr>
              <w:sdtEndPr/>
              <w:sdtContent>
                <w:r w:rsidR="008E64C2">
                  <w:rPr>
                    <w:rFonts w:hint="eastAsia" w:ascii="MS Gothic" w:hAnsi="MS Gothic" w:eastAsia="MS Gothic"/>
                    <w:bCs/>
                    <w:szCs w:val="24"/>
                    <w:lang w:eastAsia="en-GB"/>
                  </w:rPr>
                  <w:t>☒</w:t>
                </w:r>
              </w:sdtContent>
            </w:sdt>
            <w:r w:rsidRPr="0007110E" w:rsidR="00E21DBD">
              <w:rPr>
                <w:bCs/>
                <w:szCs w:val="24"/>
                <w:lang w:eastAsia="en-GB"/>
              </w:rPr>
              <w:t xml:space="preserve"> With allowances </w:t>
            </w:r>
            <w:r w:rsidRPr="0007110E" w:rsidR="00994062">
              <w:rPr>
                <w:bCs/>
                <w:szCs w:val="24"/>
                <w:lang w:eastAsia="en-GB"/>
              </w:rPr>
              <w:t xml:space="preserve">   </w:t>
            </w:r>
            <w:sdt>
              <w:sdtPr>
                <w:rPr>
                  <w:bCs/>
                  <w:szCs w:val="24"/>
                  <w:lang w:eastAsia="en-GB"/>
                </w:rPr>
                <w:id w:val="-1683587035"/>
                <w14:checkbox>
                  <w14:checked w14:val="0"/>
                  <w14:checkedState w14:val="2612" w14:font="MS Gothic"/>
                  <w14:uncheckedState w14:val="2610" w14:font="MS Gothic"/>
                </w14:checkbox>
              </w:sdtPr>
              <w:sdtEndPr/>
              <w:sdtContent>
                <w:r w:rsidRPr="0007110E" w:rsidR="00111AB6">
                  <w:rPr>
                    <w:rFonts w:hint="eastAsia" w:ascii="MS Gothic" w:hAnsi="MS Gothic" w:eastAsia="MS Gothic"/>
                    <w:bCs/>
                    <w:szCs w:val="24"/>
                    <w:lang w:eastAsia="en-GB"/>
                  </w:rPr>
                  <w:t>☐</w:t>
                </w:r>
              </w:sdtContent>
            </w:sdt>
            <w:r w:rsidRPr="0007110E" w:rsidR="00E21DBD">
              <w:rPr>
                <w:bCs/>
                <w:szCs w:val="24"/>
                <w:lang w:eastAsia="en-GB"/>
              </w:rPr>
              <w:t xml:space="preserve"> Cost-free</w:t>
            </w:r>
          </w:p>
        </w:tc>
      </w:tr>
      <w:tr w:rsidRPr="00994062" w:rsidR="00E21DBD" w:rsidTr="2CEF1B8C" w14:paraId="539D0BAC" w14:textId="77777777">
        <w:tc>
          <w:tcPr>
            <w:tcW w:w="8602" w:type="dxa"/>
            <w:gridSpan w:val="2"/>
            <w:tcMar/>
          </w:tcPr>
          <w:p w:rsidRPr="0007110E" w:rsidR="00E21DBD" w:rsidP="0001660A" w:rsidRDefault="00E21DBD" w14:paraId="582FFE97" w14:textId="38200397">
            <w:pPr>
              <w:tabs>
                <w:tab w:val="left" w:pos="426"/>
              </w:tabs>
              <w:rPr>
                <w:bCs/>
                <w:lang w:val="en-IE" w:eastAsia="en-GB"/>
              </w:rPr>
            </w:pPr>
            <w:r w:rsidRPr="0007110E">
              <w:rPr>
                <w:bCs/>
                <w:lang w:val="en-IE" w:eastAsia="en-GB"/>
              </w:rPr>
              <w:t>This vacancy notice is open to</w:t>
            </w:r>
            <w:r w:rsidRPr="0007110E" w:rsidR="00252050">
              <w:rPr>
                <w:bCs/>
                <w:lang w:val="en-IE" w:eastAsia="en-GB"/>
              </w:rPr>
              <w:t>:</w:t>
            </w:r>
          </w:p>
          <w:p w:rsidRPr="0007110E" w:rsidR="00E21DBD" w:rsidP="00E21DBD" w:rsidRDefault="009771B9" w14:paraId="4446CE69" w14:textId="717B4494">
            <w:pPr>
              <w:tabs>
                <w:tab w:val="left" w:pos="426"/>
              </w:tabs>
              <w:contextualSpacing/>
              <w:rPr>
                <w:bCs/>
                <w:szCs w:val="24"/>
                <w:lang w:eastAsia="en-GB"/>
              </w:rPr>
            </w:pPr>
            <w:sdt>
              <w:sdtPr>
                <w:rPr>
                  <w:bCs/>
                  <w:szCs w:val="24"/>
                  <w:lang w:eastAsia="en-GB"/>
                </w:rPr>
                <w:id w:val="-1853022140"/>
                <w14:checkbox>
                  <w14:checked w14:val="1"/>
                  <w14:checkedState w14:val="2612" w14:font="MS Gothic"/>
                  <w14:uncheckedState w14:val="2610" w14:font="MS Gothic"/>
                </w14:checkbox>
              </w:sdtPr>
              <w:sdtEndPr/>
              <w:sdtContent>
                <w:r w:rsidR="00A763B8">
                  <w:rPr>
                    <w:rFonts w:hint="eastAsia" w:ascii="MS Gothic" w:hAnsi="MS Gothic" w:eastAsia="MS Gothic"/>
                    <w:bCs/>
                    <w:szCs w:val="24"/>
                    <w:lang w:eastAsia="en-GB"/>
                  </w:rPr>
                  <w:t>☒</w:t>
                </w:r>
              </w:sdtContent>
            </w:sdt>
            <w:r w:rsidRPr="0007110E" w:rsidR="00E21DBD">
              <w:rPr>
                <w:bCs/>
                <w:szCs w:val="24"/>
                <w:lang w:eastAsia="en-GB"/>
              </w:rPr>
              <w:t xml:space="preserve"> EU Member States</w:t>
            </w:r>
          </w:p>
          <w:p w:rsidRPr="0007110E" w:rsidR="00E21DBD" w:rsidP="2CEF1B8C" w:rsidRDefault="009771B9" w14:paraId="6CECCDB8" w14:textId="52BB6C83">
            <w:pPr>
              <w:tabs>
                <w:tab w:val="left" w:pos="426"/>
              </w:tabs>
              <w:rPr>
                <w:lang w:val="en-IE" w:eastAsia="en-GB"/>
              </w:rPr>
            </w:pPr>
            <w:sdt>
              <w:sdtPr>
                <w:id w:val="2041318910"/>
                <w14:checkbox>
                  <w14:checked w14:val="0"/>
                  <w14:checkedState w14:val="2612" w14:font="MS Gothic"/>
                  <w14:uncheckedState w14:val="2610" w14:font="MS Gothic"/>
                </w14:checkbox>
                <w:rPr>
                  <w:lang w:eastAsia="en-GB"/>
                </w:rPr>
              </w:sdtPr>
              <w:sdtContent>
                <w:r w:rsidRPr="2CEF1B8C" w:rsidR="6D88D788">
                  <w:rPr>
                    <w:rFonts w:ascii="MS Gothic" w:hAnsi="MS Gothic" w:eastAsia="MS Gothic" w:cs="MS Gothic"/>
                    <w:lang w:eastAsia="en-GB"/>
                  </w:rPr>
                  <w:t>☐</w:t>
                </w:r>
              </w:sdtContent>
              <w:sdtEndPr>
                <w:rPr>
                  <w:lang w:eastAsia="en-GB"/>
                </w:rPr>
              </w:sdtEndPr>
            </w:sdt>
            <w:r w:rsidRPr="2CEF1B8C" w:rsidR="00E21DBD">
              <w:rPr>
                <w:lang w:val="en-IE" w:eastAsia="en-GB"/>
              </w:rPr>
              <w:t xml:space="preserve"> EFTA-EEA In-Kind agreement (Iceland, Liechtenstein, Norway)</w:t>
            </w:r>
            <w:r w:rsidRPr="2CEF1B8C" w:rsidR="00E21DBD">
              <w:rPr>
                <w:lang w:eastAsia="en-GB"/>
              </w:rPr>
              <w:t xml:space="preserve"> </w:t>
            </w:r>
          </w:p>
        </w:tc>
      </w:tr>
      <w:tr w:rsidRPr="00AF417C" w:rsidR="00252050" w:rsidTr="2CEF1B8C" w14:paraId="12F8E109" w14:textId="77777777">
        <w:tc>
          <w:tcPr>
            <w:tcW w:w="8602" w:type="dxa"/>
            <w:gridSpan w:val="2"/>
            <w:tcMar/>
          </w:tcPr>
          <w:p w:rsidRPr="0007110E" w:rsidR="00252050" w:rsidP="00252050" w:rsidRDefault="00252050" w14:paraId="0790CDFA" w14:textId="44BD9593">
            <w:pPr>
              <w:tabs>
                <w:tab w:val="left" w:pos="426"/>
              </w:tabs>
              <w:rPr>
                <w:bCs/>
                <w:lang w:val="en-IE" w:eastAsia="en-GB"/>
              </w:rPr>
            </w:pPr>
            <w:r w:rsidRPr="0007110E">
              <w:rPr>
                <w:bCs/>
                <w:lang w:val="en-IE" w:eastAsia="en-GB"/>
              </w:rPr>
              <w:t>This vacancy notice is also open to:</w:t>
            </w:r>
          </w:p>
          <w:p w:rsidRPr="0007110E" w:rsidR="00252050" w:rsidP="00252050" w:rsidRDefault="009771B9" w14:paraId="6725C95D" w14:textId="72388FB9">
            <w:pPr>
              <w:tabs>
                <w:tab w:val="left" w:pos="426"/>
              </w:tabs>
              <w:contextualSpacing/>
              <w:rPr>
                <w:bCs/>
                <w:szCs w:val="24"/>
                <w:lang w:eastAsia="en-GB"/>
              </w:rPr>
            </w:pPr>
            <w:sdt>
              <w:sdtPr>
                <w:rPr>
                  <w:bCs/>
                  <w:szCs w:val="24"/>
                  <w:lang w:eastAsia="en-GB"/>
                </w:rPr>
                <w:id w:val="-68340659"/>
                <w14:checkbox>
                  <w14:checked w14:val="1"/>
                  <w14:checkedState w14:val="2612" w14:font="MS Gothic"/>
                  <w14:uncheckedState w14:val="2610" w14:font="MS Gothic"/>
                </w14:checkbox>
              </w:sdtPr>
              <w:sdtEndPr/>
              <w:sdtContent>
                <w:r w:rsidR="008E64C2">
                  <w:rPr>
                    <w:rFonts w:hint="eastAsia" w:ascii="MS Gothic" w:hAnsi="MS Gothic" w:eastAsia="MS Gothic"/>
                    <w:bCs/>
                    <w:szCs w:val="24"/>
                    <w:lang w:eastAsia="en-GB"/>
                  </w:rPr>
                  <w:t>☒</w:t>
                </w:r>
              </w:sdtContent>
            </w:sdt>
            <w:r w:rsidRPr="0007110E" w:rsidR="00E44D7F">
              <w:rPr>
                <w:bCs/>
                <w:szCs w:val="24"/>
                <w:lang w:eastAsia="en-GB"/>
              </w:rPr>
              <w:tab/>
            </w:r>
            <w:r w:rsidRPr="0007110E" w:rsidR="00252050">
              <w:rPr>
                <w:bCs/>
                <w:szCs w:val="24"/>
                <w:lang w:eastAsia="en-GB"/>
              </w:rPr>
              <w:t>The following EFTA countries:</w:t>
            </w:r>
          </w:p>
          <w:p w:rsidRPr="0007110E" w:rsidR="00252050" w:rsidP="00252050" w:rsidRDefault="00252050" w14:paraId="2FAAE434" w14:textId="525EB9D6">
            <w:pPr>
              <w:tabs>
                <w:tab w:val="left" w:pos="426"/>
              </w:tabs>
              <w:contextualSpacing/>
              <w:rPr>
                <w:bCs/>
                <w:szCs w:val="24"/>
                <w:lang w:eastAsia="en-GB"/>
              </w:rPr>
            </w:pPr>
            <w:r w:rsidRPr="0007110E">
              <w:rPr>
                <w:bCs/>
                <w:szCs w:val="24"/>
                <w:lang w:eastAsia="en-GB"/>
              </w:rPr>
              <w:tab/>
            </w:r>
            <w:sdt>
              <w:sdtPr>
                <w:rPr>
                  <w:bCs/>
                  <w:szCs w:val="24"/>
                  <w:lang w:eastAsia="en-GB"/>
                </w:rPr>
                <w:id w:val="-1990401639"/>
                <w14:checkbox>
                  <w14:checked w14:val="1"/>
                  <w14:checkedState w14:val="2612" w14:font="MS Gothic"/>
                  <w14:uncheckedState w14:val="2610" w14:font="MS Gothic"/>
                </w14:checkbox>
              </w:sdtPr>
              <w:sdtEndPr/>
              <w:sdtContent>
                <w:r w:rsidR="008E64C2">
                  <w:rPr>
                    <w:rFonts w:hint="eastAsia" w:ascii="MS Gothic" w:hAnsi="MS Gothic" w:eastAsia="MS Gothic"/>
                    <w:bCs/>
                    <w:szCs w:val="24"/>
                    <w:lang w:eastAsia="en-GB"/>
                  </w:rPr>
                  <w:t>☒</w:t>
                </w:r>
              </w:sdtContent>
            </w:sdt>
            <w:r w:rsidRPr="0007110E">
              <w:rPr>
                <w:bCs/>
                <w:szCs w:val="24"/>
                <w:lang w:eastAsia="en-GB"/>
              </w:rPr>
              <w:t xml:space="preserve"> Iceland   </w:t>
            </w:r>
            <w:sdt>
              <w:sdtPr>
                <w:rPr>
                  <w:bCs/>
                  <w:szCs w:val="24"/>
                  <w:lang w:eastAsia="en-GB"/>
                </w:rPr>
                <w:id w:val="2059970484"/>
                <w14:checkbox>
                  <w14:checked w14:val="1"/>
                  <w14:checkedState w14:val="2612" w14:font="MS Gothic"/>
                  <w14:uncheckedState w14:val="2610" w14:font="MS Gothic"/>
                </w14:checkbox>
              </w:sdtPr>
              <w:sdtEndPr/>
              <w:sdtContent>
                <w:r w:rsidR="008E64C2">
                  <w:rPr>
                    <w:rFonts w:hint="eastAsia" w:ascii="MS Gothic" w:hAnsi="MS Gothic" w:eastAsia="MS Gothic"/>
                    <w:bCs/>
                    <w:szCs w:val="24"/>
                    <w:lang w:eastAsia="en-GB"/>
                  </w:rPr>
                  <w:t>☒</w:t>
                </w:r>
              </w:sdtContent>
            </w:sdt>
            <w:r w:rsidRPr="0007110E">
              <w:rPr>
                <w:bCs/>
                <w:szCs w:val="24"/>
                <w:lang w:eastAsia="en-GB"/>
              </w:rPr>
              <w:t xml:space="preserve"> </w:t>
            </w:r>
            <w:r w:rsidR="008D02B7">
              <w:rPr>
                <w:bCs/>
                <w:szCs w:val="24"/>
                <w:lang w:eastAsia="en-GB"/>
              </w:rPr>
              <w:t>Liechtenstein</w:t>
            </w:r>
            <w:r w:rsidRPr="0007110E">
              <w:rPr>
                <w:bCs/>
                <w:szCs w:val="24"/>
                <w:lang w:eastAsia="en-GB"/>
              </w:rPr>
              <w:t xml:space="preserve">   </w:t>
            </w:r>
            <w:sdt>
              <w:sdtPr>
                <w:rPr>
                  <w:bCs/>
                  <w:szCs w:val="24"/>
                  <w:lang w:eastAsia="en-GB"/>
                </w:rPr>
                <w:id w:val="347227220"/>
                <w14:checkbox>
                  <w14:checked w14:val="1"/>
                  <w14:checkedState w14:val="2612" w14:font="MS Gothic"/>
                  <w14:uncheckedState w14:val="2610" w14:font="MS Gothic"/>
                </w14:checkbox>
              </w:sdtPr>
              <w:sdtEndPr/>
              <w:sdtContent>
                <w:r w:rsidR="008E64C2">
                  <w:rPr>
                    <w:rFonts w:hint="eastAsia" w:ascii="MS Gothic" w:hAnsi="MS Gothic" w:eastAsia="MS Gothic"/>
                    <w:bCs/>
                    <w:szCs w:val="24"/>
                    <w:lang w:eastAsia="en-GB"/>
                  </w:rPr>
                  <w:t>☒</w:t>
                </w:r>
              </w:sdtContent>
            </w:sdt>
            <w:r w:rsidRPr="0007110E">
              <w:rPr>
                <w:bCs/>
                <w:szCs w:val="24"/>
                <w:lang w:eastAsia="en-GB"/>
              </w:rPr>
              <w:t xml:space="preserve"> </w:t>
            </w:r>
            <w:r w:rsidR="008D02B7">
              <w:rPr>
                <w:bCs/>
                <w:szCs w:val="24"/>
                <w:lang w:eastAsia="en-GB"/>
              </w:rPr>
              <w:t>Norway</w:t>
            </w:r>
            <w:r w:rsidRPr="0007110E">
              <w:rPr>
                <w:bCs/>
                <w:szCs w:val="24"/>
                <w:lang w:eastAsia="en-GB"/>
              </w:rPr>
              <w:t xml:space="preserve">   </w:t>
            </w:r>
            <w:sdt>
              <w:sdtPr>
                <w:rPr>
                  <w:bCs/>
                  <w:szCs w:val="24"/>
                  <w:lang w:eastAsia="en-GB"/>
                </w:rPr>
                <w:id w:val="-1937502850"/>
                <w14:checkbox>
                  <w14:checked w14:val="0"/>
                  <w14:checkedState w14:val="2612" w14:font="MS Gothic"/>
                  <w14:uncheckedState w14:val="2610" w14:font="MS Gothic"/>
                </w14:checkbox>
              </w:sdtPr>
              <w:sdtEndPr/>
              <w:sdtContent>
                <w:r w:rsidR="009771B9">
                  <w:rPr>
                    <w:rFonts w:hint="eastAsia" w:ascii="MS Gothic" w:hAnsi="MS Gothic" w:eastAsia="MS Gothic"/>
                    <w:bCs/>
                    <w:szCs w:val="24"/>
                    <w:lang w:eastAsia="en-GB"/>
                  </w:rPr>
                  <w:t>☐</w:t>
                </w:r>
              </w:sdtContent>
            </w:sdt>
            <w:r w:rsidRPr="0007110E">
              <w:rPr>
                <w:bCs/>
                <w:szCs w:val="24"/>
                <w:lang w:eastAsia="en-GB"/>
              </w:rPr>
              <w:t xml:space="preserve"> Switzerland</w:t>
            </w:r>
          </w:p>
          <w:p w:rsidRPr="0007110E" w:rsidR="00252050" w:rsidP="00252050" w:rsidRDefault="009771B9" w14:paraId="4A017C8D" w14:textId="43ED7FC1">
            <w:pPr>
              <w:tabs>
                <w:tab w:val="left" w:pos="426"/>
              </w:tabs>
              <w:contextualSpacing/>
              <w:rPr>
                <w:bCs/>
                <w:szCs w:val="24"/>
                <w:lang w:eastAsia="en-GB"/>
              </w:rPr>
            </w:pPr>
            <w:sdt>
              <w:sdtPr>
                <w:rPr>
                  <w:bCs/>
                  <w:szCs w:val="24"/>
                  <w:lang w:eastAsia="en-GB"/>
                </w:rPr>
                <w:id w:val="1754392874"/>
                <w14:checkbox>
                  <w14:checked w14:val="0"/>
                  <w14:checkedState w14:val="2612" w14:font="MS Gothic"/>
                  <w14:uncheckedState w14:val="2610" w14:font="MS Gothic"/>
                </w14:checkbox>
              </w:sdtPr>
              <w:sdtEndPr/>
              <w:sdtContent>
                <w:r w:rsidRPr="0007110E" w:rsidR="005168AD">
                  <w:rPr>
                    <w:rFonts w:hint="eastAsia" w:ascii="MS Gothic" w:hAnsi="MS Gothic" w:eastAsia="MS Gothic"/>
                    <w:bCs/>
                    <w:szCs w:val="24"/>
                    <w:lang w:eastAsia="en-GB"/>
                  </w:rPr>
                  <w:t>☐</w:t>
                </w:r>
              </w:sdtContent>
            </w:sdt>
            <w:r w:rsidRPr="0007110E" w:rsidR="00E44D7F">
              <w:rPr>
                <w:bCs/>
                <w:szCs w:val="24"/>
                <w:lang w:eastAsia="en-GB"/>
              </w:rPr>
              <w:tab/>
            </w:r>
            <w:r w:rsidRPr="0007110E" w:rsidR="00252050">
              <w:rPr>
                <w:bCs/>
                <w:szCs w:val="24"/>
                <w:lang w:eastAsia="en-GB"/>
              </w:rPr>
              <w:t>The following third countries:</w:t>
            </w:r>
            <w:r w:rsidRPr="0007110E" w:rsidR="00E44D7F">
              <w:rPr>
                <w:bCs/>
                <w:szCs w:val="24"/>
                <w:lang w:eastAsia="en-GB"/>
              </w:rPr>
              <w:t xml:space="preserve"> </w:t>
            </w:r>
            <w:sdt>
              <w:sdtPr>
                <w:rPr>
                  <w:bCs/>
                  <w:szCs w:val="24"/>
                  <w:lang w:eastAsia="en-GB"/>
                </w:rPr>
                <w:id w:val="-729996552"/>
                <w:placeholder>
                  <w:docPart w:val="2CBB2A0B72674470B30B3225F78306DD"/>
                </w:placeholder>
                <w:showingPlcHdr/>
              </w:sdtPr>
              <w:sdtEndPr/>
              <w:sdtContent>
                <w:r w:rsidRPr="0007110E" w:rsidR="00FD740F">
                  <w:rPr>
                    <w:rStyle w:val="PlaceholderText"/>
                    <w:bCs/>
                  </w:rPr>
                  <w:t xml:space="preserve">     </w:t>
                </w:r>
              </w:sdtContent>
            </w:sdt>
          </w:p>
          <w:p w:rsidRPr="0007110E" w:rsidR="008D02B7" w:rsidP="008D02B7" w:rsidRDefault="009771B9" w14:paraId="4E259603" w14:textId="6D59B3FF">
            <w:pPr>
              <w:tabs>
                <w:tab w:val="left" w:pos="426"/>
              </w:tabs>
              <w:rPr>
                <w:bCs/>
                <w:szCs w:val="24"/>
                <w:lang w:eastAsia="en-GB"/>
              </w:rPr>
            </w:pPr>
            <w:sdt>
              <w:sdtPr>
                <w:rPr>
                  <w:bCs/>
                  <w:szCs w:val="24"/>
                  <w:lang w:eastAsia="en-GB"/>
                </w:rPr>
                <w:id w:val="127444912"/>
                <w14:checkbox>
                  <w14:checked w14:val="0"/>
                  <w14:checkedState w14:val="2612" w14:font="MS Gothic"/>
                  <w14:uncheckedState w14:val="2610" w14:font="MS Gothic"/>
                </w14:checkbox>
              </w:sdtPr>
              <w:sdtEndPr/>
              <w:sdtContent>
                <w:r w:rsidRPr="0007110E" w:rsidR="002109E6">
                  <w:rPr>
                    <w:rFonts w:hint="eastAsia" w:ascii="MS Gothic" w:hAnsi="MS Gothic" w:eastAsia="MS Gothic"/>
                    <w:bCs/>
                    <w:szCs w:val="24"/>
                    <w:lang w:eastAsia="en-GB"/>
                  </w:rPr>
                  <w:t>☐</w:t>
                </w:r>
              </w:sdtContent>
            </w:sdt>
            <w:r w:rsidRPr="0007110E" w:rsidR="00E44D7F">
              <w:rPr>
                <w:bCs/>
                <w:szCs w:val="24"/>
                <w:lang w:eastAsia="en-GB"/>
              </w:rPr>
              <w:tab/>
            </w:r>
            <w:r w:rsidRPr="0007110E" w:rsidR="00252050">
              <w:rPr>
                <w:bCs/>
                <w:szCs w:val="24"/>
                <w:lang w:eastAsia="en-GB"/>
              </w:rPr>
              <w:t>The following intergovernmental organisations:</w:t>
            </w:r>
            <w:r w:rsidRPr="0007110E" w:rsidR="00E44D7F">
              <w:rPr>
                <w:bCs/>
                <w:szCs w:val="24"/>
                <w:lang w:eastAsia="en-GB"/>
              </w:rPr>
              <w:tab/>
            </w:r>
            <w:sdt>
              <w:sdtPr>
                <w:rPr>
                  <w:bCs/>
                  <w:szCs w:val="24"/>
                  <w:lang w:eastAsia="en-GB"/>
                </w:rPr>
                <w:id w:val="-1659766257"/>
                <w:placeholder>
                  <w:docPart w:val="D6B275DB24F84EFBB866B5C9055058FF"/>
                </w:placeholder>
                <w:showingPlcHdr/>
              </w:sdtPr>
              <w:sdtEndPr/>
              <w:sdtContent>
                <w:r w:rsidR="008D02B7">
                  <w:rPr>
                    <w:rStyle w:val="PlaceholderText"/>
                  </w:rPr>
                  <w:t xml:space="preserve">    </w:t>
                </w:r>
              </w:sdtContent>
            </w:sdt>
          </w:p>
        </w:tc>
      </w:tr>
      <w:tr w:rsidRPr="00AF417C" w:rsidR="00DF1E49" w:rsidTr="2CEF1B8C" w14:paraId="4E10CC7A" w14:textId="77777777">
        <w:tc>
          <w:tcPr>
            <w:tcW w:w="3111" w:type="dxa"/>
            <w:tcMar/>
          </w:tcPr>
          <w:p w:rsidRPr="0007110E" w:rsidR="00DF1E49" w:rsidP="008D43AB" w:rsidRDefault="00DF1E49" w14:paraId="4B77822C" w14:textId="5EFC4255">
            <w:pPr>
              <w:tabs>
                <w:tab w:val="left" w:pos="426"/>
              </w:tabs>
              <w:spacing w:after="0"/>
              <w:rPr>
                <w:bCs/>
                <w:lang w:val="en-IE" w:eastAsia="en-GB"/>
              </w:rPr>
            </w:pPr>
            <w:r w:rsidRPr="0007110E">
              <w:rPr>
                <w:bCs/>
                <w:lang w:val="en-IE" w:eastAsia="en-GB"/>
              </w:rPr>
              <w:t>Deadline for applications</w:t>
            </w:r>
          </w:p>
        </w:tc>
        <w:tc>
          <w:tcPr>
            <w:tcW w:w="5491" w:type="dxa"/>
            <w:tcMar/>
          </w:tcPr>
          <w:p w:rsidRPr="0007110E" w:rsidR="00DF1E49" w:rsidP="008D43AB" w:rsidRDefault="009771B9" w14:paraId="42C9AD79" w14:textId="4C352C89">
            <w:pPr>
              <w:tabs>
                <w:tab w:val="left" w:pos="426"/>
              </w:tabs>
              <w:rPr>
                <w:bCs/>
                <w:lang w:val="en-IE" w:eastAsia="en-GB"/>
              </w:rPr>
            </w:pPr>
            <w:sdt>
              <w:sdtPr>
                <w:rPr>
                  <w:bCs/>
                  <w:szCs w:val="24"/>
                  <w:lang w:eastAsia="en-GB"/>
                </w:rPr>
                <w:id w:val="-1076366056"/>
                <w14:checkbox>
                  <w14:checked w14:val="1"/>
                  <w14:checkedState w14:val="2612" w14:font="MS Gothic"/>
                  <w14:uncheckedState w14:val="2610" w14:font="MS Gothic"/>
                </w14:checkbox>
              </w:sdtPr>
              <w:sdtEndPr/>
              <w:sdtContent>
                <w:r w:rsidR="008E64C2">
                  <w:rPr>
                    <w:rFonts w:hint="eastAsia" w:ascii="MS Gothic" w:hAnsi="MS Gothic" w:eastAsia="MS Gothic"/>
                    <w:bCs/>
                    <w:szCs w:val="24"/>
                    <w:lang w:eastAsia="en-GB"/>
                  </w:rPr>
                  <w:t>☒</w:t>
                </w:r>
              </w:sdtContent>
            </w:sdt>
            <w:r w:rsidRPr="0007110E" w:rsidR="00DF1E49">
              <w:rPr>
                <w:bCs/>
                <w:szCs w:val="24"/>
                <w:lang w:eastAsia="en-GB"/>
              </w:rPr>
              <w:t xml:space="preserve"> 2 months    </w:t>
            </w:r>
            <w:sdt>
              <w:sdtPr>
                <w:rPr>
                  <w:bCs/>
                  <w:szCs w:val="24"/>
                  <w:lang w:eastAsia="en-GB"/>
                </w:rPr>
                <w:id w:val="-1934659806"/>
                <w14:checkbox>
                  <w14:checked w14:val="0"/>
                  <w14:checkedState w14:val="2612" w14:font="MS Gothic"/>
                  <w14:uncheckedState w14:val="2610" w14:font="MS Gothic"/>
                </w14:checkbox>
              </w:sdtPr>
              <w:sdtEndPr/>
              <w:sdtContent>
                <w:r w:rsidRPr="0007110E" w:rsidR="00E44D7F">
                  <w:rPr>
                    <w:rFonts w:hint="eastAsia" w:ascii="MS Gothic" w:hAnsi="MS Gothic" w:eastAsia="MS Gothic"/>
                    <w:bCs/>
                    <w:szCs w:val="24"/>
                    <w:lang w:eastAsia="en-GB"/>
                  </w:rPr>
                  <w:t>☐</w:t>
                </w:r>
              </w:sdtContent>
            </w:sdt>
            <w:r w:rsidRPr="0007110E" w:rsidR="00DF1E49">
              <w:rPr>
                <w:bCs/>
                <w:szCs w:val="24"/>
                <w:lang w:eastAsia="en-GB"/>
              </w:rPr>
              <w:t xml:space="preserve"> 1 month</w:t>
            </w:r>
          </w:p>
        </w:tc>
      </w:tr>
      <w:bookmarkEnd w:id="0"/>
    </w:tbl>
    <w:p w:rsidRPr="00994062" w:rsidR="00E21DBD" w:rsidP="00E21DBD" w:rsidRDefault="00E21DBD" w14:paraId="4AD59AD4" w14:textId="77777777">
      <w:pPr>
        <w:tabs>
          <w:tab w:val="left" w:pos="426"/>
        </w:tabs>
        <w:spacing w:after="0"/>
        <w:rPr>
          <w:b/>
          <w:lang w:val="en-IE" w:eastAsia="en-GB"/>
        </w:rPr>
      </w:pPr>
    </w:p>
    <w:p w:rsidRPr="00994062" w:rsidR="00E21DBD" w:rsidP="00E21DBD" w:rsidRDefault="00E21DBD" w14:paraId="7FA18C95" w14:textId="77777777">
      <w:pPr>
        <w:tabs>
          <w:tab w:val="left" w:pos="426"/>
        </w:tabs>
        <w:spacing w:after="0"/>
        <w:rPr>
          <w:b/>
          <w:lang w:val="en-IE" w:eastAsia="en-GB"/>
        </w:rPr>
      </w:pPr>
    </w:p>
    <w:p w:rsidRPr="00994062" w:rsidR="00E21DBD" w:rsidP="00994062" w:rsidRDefault="003E50A4" w14:paraId="739B1A99" w14:textId="26B4FBDA">
      <w:pPr>
        <w:pStyle w:val="ListNumber"/>
        <w:numPr>
          <w:ilvl w:val="0"/>
          <w:numId w:val="0"/>
        </w:numPr>
        <w:ind w:left="709" w:hanging="709"/>
        <w:rPr>
          <w:b/>
          <w:bCs/>
          <w:lang w:eastAsia="en-GB"/>
        </w:rPr>
      </w:pPr>
      <w:bookmarkStart w:name="_Hlk132129090" w:id="1"/>
      <w:r>
        <w:rPr>
          <w:b/>
          <w:bCs/>
          <w:lang w:eastAsia="en-GB"/>
        </w:rPr>
        <w:t>Entity</w:t>
      </w:r>
      <w:r w:rsidRPr="00994062" w:rsidR="00E21DBD">
        <w:rPr>
          <w:b/>
          <w:bCs/>
          <w:lang w:eastAsia="en-GB"/>
        </w:rPr>
        <w:t xml:space="preserve"> Presentation (We are)</w:t>
      </w:r>
    </w:p>
    <w:sdt>
      <w:sdtPr>
        <w:rPr>
          <w:lang w:val="en-US" w:eastAsia="en-GB"/>
        </w:rPr>
        <w:id w:val="1822233941"/>
        <w:placeholder>
          <w:docPart w:val="A1D7C4E93E5D41968C9784C962AACA55"/>
        </w:placeholder>
      </w:sdtPr>
      <w:sdtEndPr>
        <w:rPr>
          <w:lang w:val="en-US" w:eastAsia="en-GB"/>
        </w:rPr>
      </w:sdtEndPr>
      <w:sdtContent>
        <w:p w:rsidR="008E64C2" w:rsidP="0019756C" w:rsidRDefault="00F51BBB" w14:paraId="1D819177" w14:textId="53AD5642">
          <w:pPr>
            <w:tabs>
              <w:tab w:val="left" w:pos="142"/>
            </w:tabs>
            <w:spacing w:after="0"/>
            <w:ind w:right="175"/>
            <w:rPr>
              <w:lang w:eastAsia="en-GB"/>
            </w:rPr>
          </w:pPr>
          <w:r>
            <w:rPr>
              <w:lang w:eastAsia="en-GB"/>
            </w:rPr>
            <w:t>Our u</w:t>
          </w:r>
          <w:r w:rsidRPr="00FF340E" w:rsidR="008E64C2">
            <w:rPr>
              <w:lang w:eastAsia="en-GB"/>
            </w:rPr>
            <w:t>nit F.4 deals with merger</w:t>
          </w:r>
          <w:r w:rsidR="008E64C2">
            <w:rPr>
              <w:lang w:eastAsia="en-GB"/>
            </w:rPr>
            <w:t xml:space="preserve"> control</w:t>
          </w:r>
          <w:r w:rsidRPr="00FF340E" w:rsidR="008E64C2">
            <w:rPr>
              <w:lang w:eastAsia="en-GB"/>
            </w:rPr>
            <w:t xml:space="preserve"> in the field of transport, post and other services. The unit's remit focuses </w:t>
          </w:r>
          <w:r w:rsidR="00732161">
            <w:rPr>
              <w:lang w:eastAsia="en-GB"/>
            </w:rPr>
            <w:t>on</w:t>
          </w:r>
          <w:r w:rsidRPr="00FF340E" w:rsidR="008E64C2">
            <w:rPr>
              <w:lang w:eastAsia="en-GB"/>
            </w:rPr>
            <w:t xml:space="preserve"> </w:t>
          </w:r>
          <w:r>
            <w:rPr>
              <w:lang w:eastAsia="en-GB"/>
            </w:rPr>
            <w:t xml:space="preserve">protecting competition in </w:t>
          </w:r>
          <w:r w:rsidRPr="00FF340E" w:rsidR="008E64C2">
            <w:rPr>
              <w:lang w:eastAsia="en-GB"/>
            </w:rPr>
            <w:t xml:space="preserve">numerous service sectors: </w:t>
          </w:r>
          <w:r>
            <w:rPr>
              <w:lang w:eastAsia="en-GB"/>
            </w:rPr>
            <w:t xml:space="preserve">in addition to our core business or </w:t>
          </w:r>
          <w:r w:rsidRPr="00FF340E" w:rsidR="008E64C2">
            <w:rPr>
              <w:lang w:eastAsia="en-GB"/>
            </w:rPr>
            <w:t>passenger and freight transport by all means</w:t>
          </w:r>
          <w:r w:rsidR="00732161">
            <w:rPr>
              <w:lang w:eastAsia="en-GB"/>
            </w:rPr>
            <w:t xml:space="preserve"> of transport</w:t>
          </w:r>
          <w:r w:rsidRPr="00FF340E" w:rsidR="008E64C2">
            <w:rPr>
              <w:lang w:eastAsia="en-GB"/>
            </w:rPr>
            <w:t xml:space="preserve"> (air, sea, rail and road) </w:t>
          </w:r>
          <w:r>
            <w:rPr>
              <w:lang w:eastAsia="en-GB"/>
            </w:rPr>
            <w:t xml:space="preserve">we cover </w:t>
          </w:r>
          <w:r w:rsidRPr="00FF340E" w:rsidR="008E64C2">
            <w:rPr>
              <w:lang w:eastAsia="en-GB"/>
            </w:rPr>
            <w:t>postal services, logistics, tourism, real estate</w:t>
          </w:r>
          <w:r w:rsidR="008E64C2">
            <w:rPr>
              <w:lang w:eastAsia="en-GB"/>
            </w:rPr>
            <w:t xml:space="preserve"> and</w:t>
          </w:r>
          <w:r w:rsidRPr="00FF340E" w:rsidR="008E64C2">
            <w:rPr>
              <w:lang w:eastAsia="en-GB"/>
            </w:rPr>
            <w:t xml:space="preserve"> security services</w:t>
          </w:r>
          <w:r w:rsidR="008E64C2">
            <w:rPr>
              <w:lang w:eastAsia="en-GB"/>
            </w:rPr>
            <w:t xml:space="preserve"> among others</w:t>
          </w:r>
          <w:r w:rsidRPr="00FF340E" w:rsidR="008E64C2">
            <w:rPr>
              <w:lang w:eastAsia="en-GB"/>
            </w:rPr>
            <w:t xml:space="preserve">. Our work touches upon a vast number of areas </w:t>
          </w:r>
          <w:r w:rsidR="00732161">
            <w:rPr>
              <w:lang w:eastAsia="en-GB"/>
            </w:rPr>
            <w:t xml:space="preserve">that </w:t>
          </w:r>
          <w:r w:rsidRPr="00FF340E" w:rsidR="008E64C2">
            <w:rPr>
              <w:lang w:eastAsia="en-GB"/>
            </w:rPr>
            <w:t>hav</w:t>
          </w:r>
          <w:r w:rsidR="00732161">
            <w:rPr>
              <w:lang w:eastAsia="en-GB"/>
            </w:rPr>
            <w:t>e</w:t>
          </w:r>
          <w:r w:rsidRPr="00FF340E" w:rsidR="008E64C2">
            <w:rPr>
              <w:lang w:eastAsia="en-GB"/>
            </w:rPr>
            <w:t xml:space="preserve"> a direct impact on the daily life of EU consumers. </w:t>
          </w:r>
        </w:p>
        <w:p w:rsidRPr="00FF340E" w:rsidR="008E64C2" w:rsidP="008E64C2" w:rsidRDefault="008E64C2" w14:paraId="0EB65328" w14:textId="77777777">
          <w:pPr>
            <w:spacing w:after="0"/>
            <w:ind w:left="426" w:right="175"/>
            <w:rPr>
              <w:lang w:eastAsia="en-GB"/>
            </w:rPr>
          </w:pPr>
        </w:p>
        <w:p w:rsidR="003B0F1B" w:rsidP="0019756C" w:rsidRDefault="008E64C2" w14:paraId="7E9F6C05" w14:textId="77777777">
          <w:pPr>
            <w:spacing w:after="0"/>
            <w:ind w:right="175"/>
            <w:rPr>
              <w:lang w:eastAsia="en-GB"/>
            </w:rPr>
          </w:pPr>
          <w:r w:rsidRPr="00EF1F18">
            <w:rPr>
              <w:lang w:eastAsia="en-GB"/>
            </w:rPr>
            <w:t xml:space="preserve">Mindful of the importance of these sectors, </w:t>
          </w:r>
          <w:r w:rsidR="006D497D">
            <w:rPr>
              <w:lang w:eastAsia="en-GB"/>
            </w:rPr>
            <w:t>our u</w:t>
          </w:r>
          <w:r>
            <w:rPr>
              <w:lang w:eastAsia="en-GB"/>
            </w:rPr>
            <w:t>nit</w:t>
          </w:r>
          <w:r w:rsidR="006D497D">
            <w:rPr>
              <w:lang w:eastAsia="en-GB"/>
            </w:rPr>
            <w:t xml:space="preserve"> </w:t>
          </w:r>
          <w:r w:rsidRPr="00EF1F18">
            <w:rPr>
              <w:lang w:eastAsia="en-GB"/>
            </w:rPr>
            <w:t xml:space="preserve">is committed to keeping the markets competitive for the benefit of all European consumers and beyond. </w:t>
          </w:r>
          <w:r w:rsidR="00317D4C">
            <w:rPr>
              <w:lang w:eastAsia="en-GB"/>
            </w:rPr>
            <w:t>Our</w:t>
          </w:r>
          <w:r w:rsidRPr="00EF1F18">
            <w:rPr>
              <w:lang w:eastAsia="en-GB"/>
            </w:rPr>
            <w:t xml:space="preserve"> unit covers a range of industries, resulting in a steep learning curve and ability to explore different theories of harm. </w:t>
          </w:r>
        </w:p>
        <w:p w:rsidR="008E64C2" w:rsidP="0019756C" w:rsidRDefault="008E64C2" w14:paraId="5F20D6A6" w14:textId="469FE19F">
          <w:pPr>
            <w:spacing w:after="0"/>
            <w:ind w:right="175"/>
            <w:rPr>
              <w:lang w:eastAsia="en-GB"/>
            </w:rPr>
          </w:pPr>
          <w:r w:rsidRPr="00EF1F18">
            <w:rPr>
              <w:lang w:eastAsia="en-GB"/>
            </w:rPr>
            <w:lastRenderedPageBreak/>
            <w:t xml:space="preserve">Merger units are organised in a network, giving case-handlers the opportunity to work on mergers in various industries, even outside the </w:t>
          </w:r>
          <w:r w:rsidR="00317D4C">
            <w:rPr>
              <w:lang w:eastAsia="en-GB"/>
            </w:rPr>
            <w:t>remit</w:t>
          </w:r>
          <w:r w:rsidRPr="00EF1F18">
            <w:rPr>
              <w:lang w:eastAsia="en-GB"/>
            </w:rPr>
            <w:t xml:space="preserve"> of the unit. While the work is challenging due to strict legal deadlines, it is varied, rewarding and has a real impact on the economy and the daily life of consumers. Team members are </w:t>
          </w:r>
          <w:r w:rsidR="00260F90">
            <w:rPr>
              <w:lang w:eastAsia="en-GB"/>
            </w:rPr>
            <w:t>open-minded</w:t>
          </w:r>
          <w:r w:rsidRPr="00EF1F18">
            <w:rPr>
              <w:lang w:eastAsia="en-GB"/>
            </w:rPr>
            <w:t xml:space="preserve"> and dynamic which contributes to a vibrant working atmosphere. We encourage open discussion and creativity as cases often raise novel legal and economic issues. The hierarchical structure in </w:t>
          </w:r>
          <w:r w:rsidR="00260F90">
            <w:rPr>
              <w:lang w:eastAsia="en-GB"/>
            </w:rPr>
            <w:t xml:space="preserve">the </w:t>
          </w:r>
          <w:r w:rsidRPr="00EF1F18">
            <w:rPr>
              <w:lang w:eastAsia="en-GB"/>
            </w:rPr>
            <w:t>merger network is very lean; case teams led by a case manager directly report to the responsible Director and Deputy Director General for mergers.</w:t>
          </w:r>
        </w:p>
        <w:p w:rsidR="00E21DBD" w:rsidP="00BE0CB2" w:rsidRDefault="009771B9" w14:paraId="59DD0438" w14:textId="25F67433">
          <w:pPr>
            <w:spacing w:after="0"/>
            <w:ind w:right="175"/>
            <w:rPr>
              <w:lang w:val="en-US" w:eastAsia="en-GB"/>
            </w:rPr>
          </w:pPr>
        </w:p>
      </w:sdtContent>
    </w:sdt>
    <w:p w:rsidR="002B3CBF" w:rsidP="00994062" w:rsidRDefault="002B3CBF" w14:paraId="69459484" w14:textId="77777777">
      <w:pPr>
        <w:pStyle w:val="ListNumber"/>
        <w:numPr>
          <w:ilvl w:val="0"/>
          <w:numId w:val="0"/>
        </w:numPr>
        <w:ind w:left="709" w:hanging="709"/>
        <w:rPr>
          <w:b/>
          <w:bCs/>
          <w:lang w:eastAsia="en-GB"/>
        </w:rPr>
      </w:pPr>
    </w:p>
    <w:p w:rsidRPr="00994062" w:rsidR="00E21DBD" w:rsidP="00994062" w:rsidRDefault="00E21DBD" w14:paraId="50617C66" w14:textId="3928B21B">
      <w:pPr>
        <w:pStyle w:val="ListNumber"/>
        <w:numPr>
          <w:ilvl w:val="0"/>
          <w:numId w:val="0"/>
        </w:numPr>
        <w:ind w:left="709" w:hanging="709"/>
        <w:rPr>
          <w:b/>
          <w:bCs/>
          <w:lang w:eastAsia="en-GB"/>
        </w:rPr>
      </w:pPr>
      <w:r w:rsidRPr="00994062">
        <w:rPr>
          <w:b/>
          <w:bCs/>
          <w:lang w:eastAsia="en-GB"/>
        </w:rPr>
        <w:t>Job Presentation (We propose)</w:t>
      </w:r>
    </w:p>
    <w:sdt>
      <w:sdtPr>
        <w:rPr>
          <w:lang w:val="en-US" w:eastAsia="en-GB"/>
        </w:rPr>
        <w:id w:val="-723136291"/>
        <w:placeholder>
          <w:docPart w:val="84FB87486BC94E5EB76E972E1BD8265B"/>
        </w:placeholder>
      </w:sdtPr>
      <w:sdtEndPr>
        <w:rPr>
          <w:lang w:val="en-US" w:eastAsia="en-GB"/>
        </w:rPr>
      </w:sdtEndPr>
      <w:sdtContent>
        <w:p w:rsidRPr="00EF1F18" w:rsidR="00F51BBB" w:rsidP="0019756C" w:rsidRDefault="00F51BBB" w14:paraId="17647959" w14:textId="77777777">
          <w:pPr>
            <w:spacing w:after="0"/>
            <w:ind w:right="175"/>
            <w:rPr>
              <w:lang w:eastAsia="en-GB"/>
            </w:rPr>
          </w:pPr>
          <w:r w:rsidRPr="00EF1F18">
            <w:rPr>
              <w:lang w:eastAsia="en-GB"/>
            </w:rPr>
            <w:t xml:space="preserve">We offer a position of a case handler in a dynamic and intellectually stimulating environment. The core of a case-handler's work consists in working in teams to assess post-merger market structures on the basis of information and evidence collected from the parties to the transaction, market participants and various public sources. </w:t>
          </w:r>
          <w:r>
            <w:rPr>
              <w:lang w:eastAsia="en-GB"/>
            </w:rPr>
            <w:t>C</w:t>
          </w:r>
          <w:r w:rsidRPr="00EF1F18">
            <w:rPr>
              <w:lang w:eastAsia="en-GB"/>
            </w:rPr>
            <w:t>ase handlers carry out a legal and economic analysis in a forward</w:t>
          </w:r>
          <w:r>
            <w:rPr>
              <w:lang w:eastAsia="en-GB"/>
            </w:rPr>
            <w:t>-</w:t>
          </w:r>
          <w:r w:rsidRPr="00EF1F18">
            <w:rPr>
              <w:lang w:eastAsia="en-GB"/>
            </w:rPr>
            <w:t>looking manner to establish whether a transaction may significantly impede effective competition in the relevant markets. Case handlers are responsible for investigating the proposed mergers, conducting negotiations with companies, drafting internal notes and Commission decisions. The work includes market investigations on the basis of questionnaires, interviews with market participants, site visits and discussions with the parties to the concentration. The work may also involve participation in various working groups on policy issues and legislation, drafting of briefings for the management, Director-General and the Commissioner</w:t>
          </w:r>
          <w:r>
            <w:rPr>
              <w:lang w:eastAsia="en-GB"/>
            </w:rPr>
            <w:t xml:space="preserve"> for Competition and her/his</w:t>
          </w:r>
          <w:r w:rsidRPr="00EF1F18">
            <w:rPr>
              <w:lang w:eastAsia="en-GB"/>
            </w:rPr>
            <w:t xml:space="preserve"> Cabinet, and assisting the Legal Service in the handling of litigation in merger cases before the Courts of the European Union. </w:t>
          </w:r>
        </w:p>
        <w:p w:rsidR="00F51BBB" w:rsidP="00F51BBB" w:rsidRDefault="00F51BBB" w14:paraId="04901870" w14:textId="77777777"/>
        <w:p w:rsidRPr="00AF7D78" w:rsidR="00E21DBD" w:rsidP="00C504C7" w:rsidRDefault="009771B9" w14:paraId="46EE3E07" w14:textId="270630A5">
          <w:pPr>
            <w:rPr>
              <w:lang w:val="en-US" w:eastAsia="en-GB"/>
            </w:rPr>
          </w:pPr>
        </w:p>
      </w:sdtContent>
    </w:sdt>
    <w:p w:rsidR="002B3CBF" w:rsidP="00994062" w:rsidRDefault="002B3CBF" w14:paraId="433AC71A" w14:textId="77777777">
      <w:pPr>
        <w:pStyle w:val="ListNumber"/>
        <w:numPr>
          <w:ilvl w:val="0"/>
          <w:numId w:val="0"/>
        </w:numPr>
        <w:ind w:left="709" w:hanging="709"/>
        <w:rPr>
          <w:b/>
          <w:bCs/>
          <w:lang w:eastAsia="en-GB"/>
        </w:rPr>
      </w:pPr>
    </w:p>
    <w:p w:rsidR="00E21DBD" w:rsidP="00994062" w:rsidRDefault="00E21DBD" w14:paraId="58E0FD96" w14:textId="2D5F7C92">
      <w:pPr>
        <w:pStyle w:val="ListNumber"/>
        <w:numPr>
          <w:ilvl w:val="0"/>
          <w:numId w:val="0"/>
        </w:numPr>
        <w:ind w:left="709" w:hanging="709"/>
        <w:rPr>
          <w:b/>
          <w:bCs/>
          <w:lang w:eastAsia="en-GB"/>
        </w:rPr>
      </w:pPr>
      <w:r w:rsidRPr="00994062">
        <w:rPr>
          <w:b/>
          <w:bCs/>
          <w:lang w:eastAsia="en-GB"/>
        </w:rPr>
        <w:t>Jobholder Profile (We look for)</w:t>
      </w:r>
    </w:p>
    <w:sdt>
      <w:sdtPr>
        <w:rPr>
          <w:b/>
          <w:bCs/>
          <w:lang w:eastAsia="en-GB"/>
        </w:rPr>
        <w:id w:val="-689827953"/>
        <w:placeholder>
          <w:docPart w:val="477E34A225354857B4B5D36D9CA8A6AA"/>
        </w:placeholder>
      </w:sdtPr>
      <w:sdtEndPr>
        <w:rPr>
          <w:b w:val="1"/>
          <w:bCs w:val="1"/>
          <w:lang w:eastAsia="en-GB"/>
        </w:rPr>
      </w:sdtEndPr>
      <w:sdtContent>
        <w:p w:rsidRPr="00994062" w:rsidR="002109E6" w:rsidP="0019756C" w:rsidRDefault="00BE0CB2" w14:paraId="66964378" w14:textId="6ABCD1C2">
          <w:pPr>
            <w:pStyle w:val="ListNumber"/>
            <w:numPr>
              <w:ilvl w:val="0"/>
              <w:numId w:val="0"/>
            </w:numPr>
            <w:rPr>
              <w:b/>
              <w:bCs/>
              <w:lang w:eastAsia="en-GB"/>
            </w:rPr>
          </w:pPr>
          <w:r w:rsidRPr="0019756C">
            <w:rPr>
              <w:lang w:eastAsia="en-GB"/>
            </w:rPr>
            <w:t>The ideal candidate is a curious, dynamic individual with lots of common sense and who enjoys a high-speed and stimulating work environment. We look for someone with strong analytical and drafting skills, a sense of initiative and the ability to deliver output within tight deadlines. The candidate must be open-minded and work well in teams.</w:t>
          </w:r>
        </w:p>
      </w:sdtContent>
    </w:sdt>
    <w:bookmarkEnd w:id="1"/>
    <w:p w:rsidRPr="00AF7D78" w:rsidR="00E21DBD" w:rsidP="00E21DBD" w:rsidRDefault="00E21DBD" w14:paraId="4A6D5708" w14:textId="77777777">
      <w:pPr>
        <w:spacing w:after="0"/>
        <w:rPr>
          <w:lang w:val="en-US" w:eastAsia="en-GB"/>
        </w:rPr>
      </w:pPr>
    </w:p>
    <w:p w:rsidRPr="00AF7D78" w:rsidR="00E21DBD" w:rsidP="00E21DBD" w:rsidRDefault="00E21DBD" w14:paraId="5FB0AB31" w14:textId="77777777">
      <w:pPr>
        <w:spacing w:after="0"/>
        <w:rPr>
          <w:lang w:val="en-US" w:eastAsia="en-GB"/>
        </w:rPr>
      </w:pPr>
    </w:p>
    <w:p w:rsidRPr="00DF1E49" w:rsidR="00E21DBD" w:rsidP="00252050" w:rsidRDefault="00DF1E49" w14:paraId="17A4561D" w14:textId="2857CBE0">
      <w:pPr>
        <w:pStyle w:val="ListNumber"/>
        <w:keepNext/>
        <w:numPr>
          <w:ilvl w:val="0"/>
          <w:numId w:val="0"/>
        </w:numPr>
        <w:ind w:left="709" w:hanging="709"/>
        <w:rPr>
          <w:b/>
          <w:bCs/>
          <w:u w:val="single"/>
          <w:lang w:val="en-US" w:eastAsia="en-GB"/>
        </w:rPr>
      </w:pPr>
      <w:r>
        <w:rPr>
          <w:b/>
          <w:bCs/>
          <w:u w:val="single"/>
          <w:lang w:val="en-US" w:eastAsia="en-GB"/>
        </w:rPr>
        <w:t>Eligibility criteria</w:t>
      </w:r>
    </w:p>
    <w:p w:rsidRPr="00F67B35" w:rsidR="00E21DBD" w:rsidP="00252050" w:rsidRDefault="00E21DBD" w14:paraId="4351CD9B" w14:textId="329965A0">
      <w:pPr>
        <w:keepNext/>
        <w:rPr>
          <w:szCs w:val="24"/>
          <w:lang w:eastAsia="en-GB"/>
        </w:rPr>
      </w:pPr>
      <w:r w:rsidRPr="00F67B35">
        <w:rPr>
          <w:lang w:eastAsia="en-GB"/>
        </w:rPr>
        <w:t xml:space="preserve">The secondment will be governed by the </w:t>
      </w:r>
      <w:r w:rsidRPr="00F67B35">
        <w:rPr>
          <w:b/>
          <w:lang w:eastAsia="en-GB"/>
        </w:rPr>
        <w:t>Commission Decision C(2008)</w:t>
      </w:r>
      <w:r w:rsidR="00DF1E49">
        <w:rPr>
          <w:b/>
          <w:lang w:eastAsia="en-GB"/>
        </w:rPr>
        <w:t xml:space="preserve"> </w:t>
      </w:r>
      <w:r w:rsidRPr="00F67B35">
        <w:rPr>
          <w:b/>
          <w:lang w:eastAsia="en-GB"/>
        </w:rPr>
        <w:t xml:space="preserve">6866 </w:t>
      </w:r>
      <w:r w:rsidRPr="009A2F00">
        <w:rPr>
          <w:bCs/>
          <w:lang w:eastAsia="en-GB"/>
        </w:rPr>
        <w:t xml:space="preserve">of 12/11/2008 </w:t>
      </w:r>
      <w:r w:rsidRPr="00F67B35">
        <w:rPr>
          <w:lang w:eastAsia="en-GB"/>
        </w:rPr>
        <w:t>laying down rules on the secondment to the Commission of national experts and national experts in professional training (SNE Decision).</w:t>
      </w:r>
    </w:p>
    <w:p w:rsidRPr="00F67B35" w:rsidR="00E21DBD" w:rsidP="009A2F00" w:rsidRDefault="00E21DBD" w14:paraId="34498A87" w14:textId="698A8804">
      <w:pPr>
        <w:rPr>
          <w:lang w:val="en-US" w:eastAsia="en-GB"/>
        </w:rPr>
      </w:pPr>
      <w:r w:rsidRPr="00F67B35">
        <w:rPr>
          <w:lang w:val="en-US" w:eastAsia="en-GB"/>
        </w:rPr>
        <w:t xml:space="preserve">Under the terms of </w:t>
      </w:r>
      <w:r w:rsidR="005168AD">
        <w:rPr>
          <w:lang w:val="en-US" w:eastAsia="en-GB"/>
        </w:rPr>
        <w:t>the SNE</w:t>
      </w:r>
      <w:r w:rsidRPr="00F67B35">
        <w:rPr>
          <w:lang w:val="en-US" w:eastAsia="en-GB"/>
        </w:rPr>
        <w:t xml:space="preserve"> Decision, </w:t>
      </w:r>
      <w:r w:rsidR="00DF1E49">
        <w:rPr>
          <w:lang w:val="en-US" w:eastAsia="en-GB"/>
        </w:rPr>
        <w:t>a</w:t>
      </w:r>
      <w:r w:rsidRPr="00F67B35">
        <w:rPr>
          <w:lang w:val="en-US" w:eastAsia="en-GB"/>
        </w:rPr>
        <w:t xml:space="preserve"> national expert needs to comply with the following eligibility criteria at </w:t>
      </w:r>
      <w:r w:rsidRPr="00F67B35">
        <w:rPr>
          <w:b/>
          <w:bCs/>
          <w:lang w:val="en-US" w:eastAsia="en-GB"/>
        </w:rPr>
        <w:t>the starting date</w:t>
      </w:r>
      <w:r w:rsidRPr="00F67B35">
        <w:rPr>
          <w:lang w:val="en-US" w:eastAsia="en-GB"/>
        </w:rPr>
        <w:t xml:space="preserve"> of the secondment:</w:t>
      </w:r>
    </w:p>
    <w:p w:rsidRPr="00902D72" w:rsidR="00E21DBD" w:rsidP="009A2F00" w:rsidRDefault="00E21DBD" w14:paraId="2A82F38A" w14:textId="4F2D910B">
      <w:pPr>
        <w:rPr>
          <w:lang w:val="en-US" w:eastAsia="en-GB"/>
        </w:rPr>
      </w:pPr>
      <w:r w:rsidRPr="00902D72">
        <w:rPr>
          <w:u w:val="single"/>
          <w:lang w:val="en-US" w:eastAsia="en-GB"/>
        </w:rPr>
        <w:lastRenderedPageBreak/>
        <w:t>Professional experience</w:t>
      </w:r>
      <w:r w:rsidRPr="00902D72">
        <w:rPr>
          <w:lang w:val="en-US" w:eastAsia="en-GB"/>
        </w:rPr>
        <w:t>: at least three years of professional experience in administrative, legal, scientific, technical, advisory or supervisory functions which are equivalent to those of function group AD</w:t>
      </w:r>
      <w:r w:rsidR="009A2F00">
        <w:rPr>
          <w:lang w:val="en-US" w:eastAsia="en-GB"/>
        </w:rPr>
        <w:t>.</w:t>
      </w:r>
    </w:p>
    <w:p w:rsidRPr="00902D72" w:rsidR="00E21DBD" w:rsidP="009A2F00" w:rsidRDefault="00E21DBD" w14:paraId="47ED62CE" w14:textId="3ECFABD5">
      <w:pPr>
        <w:rPr>
          <w:lang w:val="en-US" w:eastAsia="en-GB"/>
        </w:rPr>
      </w:pPr>
      <w:r w:rsidRPr="00902D72">
        <w:rPr>
          <w:u w:val="single"/>
          <w:lang w:val="en-US" w:eastAsia="en-GB"/>
        </w:rPr>
        <w:t>Seniority</w:t>
      </w:r>
      <w:r w:rsidRPr="00902D72">
        <w:rPr>
          <w:lang w:val="en-US" w:eastAsia="en-GB"/>
        </w:rPr>
        <w:t xml:space="preserve">: having worked for at least one full year </w:t>
      </w:r>
      <w:r w:rsidR="009A2F00">
        <w:rPr>
          <w:lang w:val="en-US" w:eastAsia="en-GB"/>
        </w:rPr>
        <w:t xml:space="preserve">(12 months) </w:t>
      </w:r>
      <w:r w:rsidRPr="00902D72">
        <w:rPr>
          <w:lang w:val="en-US" w:eastAsia="en-GB"/>
        </w:rPr>
        <w:t>with the current employer on a permanent or contract basis</w:t>
      </w:r>
      <w:r w:rsidR="009A2F00">
        <w:rPr>
          <w:lang w:val="en-US" w:eastAsia="en-GB"/>
        </w:rPr>
        <w:t>.</w:t>
      </w:r>
    </w:p>
    <w:p w:rsidRPr="00AF417C" w:rsidR="00E21DBD" w:rsidP="009A2F00" w:rsidRDefault="00E21DBD" w14:paraId="52986B8D" w14:textId="222244E4">
      <w:pPr>
        <w:rPr>
          <w:lang w:val="en-US" w:eastAsia="en-GB"/>
        </w:rPr>
      </w:pPr>
      <w:r w:rsidRPr="00AF417C">
        <w:rPr>
          <w:u w:val="single"/>
          <w:lang w:val="en-US" w:eastAsia="en-GB"/>
        </w:rPr>
        <w:t>Employer</w:t>
      </w:r>
      <w:r w:rsidRPr="00AF417C">
        <w:rPr>
          <w:lang w:val="en-US" w:eastAsia="en-GB"/>
        </w:rPr>
        <w:t>: must be a national, regional or local administration or an intergovernmental public organisation (IGO); exceptionally and following a specific derogation, the Commission may accept applications where the employer is a public sector body (e.g., an agency or regulatory institute), university or independent research institute</w:t>
      </w:r>
      <w:r w:rsidR="009A2F00">
        <w:rPr>
          <w:lang w:val="en-US" w:eastAsia="en-GB"/>
        </w:rPr>
        <w:t>.</w:t>
      </w:r>
    </w:p>
    <w:p w:rsidRPr="00902D72" w:rsidR="00E21DBD" w:rsidP="009A2F00" w:rsidRDefault="00E21DBD" w14:paraId="36ECEE24" w14:textId="4A755959">
      <w:pPr>
        <w:rPr>
          <w:lang w:val="en-US" w:eastAsia="en-GB"/>
        </w:rPr>
      </w:pPr>
      <w:r w:rsidRPr="00902D72">
        <w:rPr>
          <w:u w:val="single"/>
          <w:lang w:val="en-US" w:eastAsia="en-GB"/>
        </w:rPr>
        <w:t>Linguistic skills</w:t>
      </w:r>
      <w:r w:rsidRPr="00902D72">
        <w:rPr>
          <w:lang w:val="en-US" w:eastAsia="en-GB"/>
        </w:rPr>
        <w:t xml:space="preserve">: thorough knowledge of one of the EU languages and a satisfactory knowledge of another EU language to the extent necessary for the performance of the duties. </w:t>
      </w:r>
      <w:r w:rsidR="00AB2CEA">
        <w:rPr>
          <w:lang w:val="en-US" w:eastAsia="en-GB"/>
        </w:rPr>
        <w:t xml:space="preserve">The national expert </w:t>
      </w:r>
      <w:r w:rsidRPr="00902D72">
        <w:rPr>
          <w:lang w:val="en-US" w:eastAsia="en-GB"/>
        </w:rPr>
        <w:t xml:space="preserve">from a third country must produce evidence of a thorough knowledge of </w:t>
      </w:r>
      <w:r w:rsidR="00AB2CEA">
        <w:rPr>
          <w:lang w:val="en-US" w:eastAsia="en-GB"/>
        </w:rPr>
        <w:t>the</w:t>
      </w:r>
      <w:r w:rsidRPr="00902D72">
        <w:rPr>
          <w:lang w:val="en-US" w:eastAsia="en-GB"/>
        </w:rPr>
        <w:t xml:space="preserve"> EU language necessary for the performance of his duties.</w:t>
      </w:r>
    </w:p>
    <w:p w:rsidR="00DF1E49" w:rsidP="009A2F00" w:rsidRDefault="00DF1E49" w14:paraId="50737F3B" w14:textId="79E4DE89">
      <w:pPr>
        <w:rPr>
          <w:lang w:eastAsia="en-GB"/>
        </w:rPr>
      </w:pPr>
    </w:p>
    <w:p w:rsidRPr="009A2F00" w:rsidR="00DF1E49" w:rsidP="00252050" w:rsidRDefault="00DF1E49" w14:paraId="5C3A2162" w14:textId="789CE808">
      <w:pPr>
        <w:pStyle w:val="ListNumber"/>
        <w:keepNext/>
        <w:numPr>
          <w:ilvl w:val="0"/>
          <w:numId w:val="0"/>
        </w:numPr>
        <w:ind w:left="709" w:hanging="709"/>
        <w:rPr>
          <w:b/>
          <w:bCs/>
          <w:u w:val="single"/>
          <w:lang w:val="en-US" w:eastAsia="en-GB"/>
        </w:rPr>
      </w:pPr>
      <w:r w:rsidRPr="009A2F00">
        <w:rPr>
          <w:b/>
          <w:bCs/>
          <w:u w:val="single"/>
          <w:lang w:val="en-US" w:eastAsia="en-GB"/>
        </w:rPr>
        <w:t>Conditions of secondment</w:t>
      </w:r>
    </w:p>
    <w:p w:rsidRPr="00F67B35" w:rsidR="00E21DBD" w:rsidP="00252050" w:rsidRDefault="00D96984" w14:paraId="42ECB69D" w14:textId="5510B04C">
      <w:pPr>
        <w:keepNext/>
        <w:rPr>
          <w:lang w:eastAsia="en-GB"/>
        </w:rPr>
      </w:pPr>
      <w:r>
        <w:rPr>
          <w:lang w:eastAsia="en-GB"/>
        </w:rPr>
        <w:t>D</w:t>
      </w:r>
      <w:r w:rsidRPr="00F67B35">
        <w:rPr>
          <w:lang w:eastAsia="en-GB"/>
        </w:rPr>
        <w:t xml:space="preserve">uring the </w:t>
      </w:r>
      <w:r>
        <w:rPr>
          <w:lang w:eastAsia="en-GB"/>
        </w:rPr>
        <w:t xml:space="preserve">full duration of the </w:t>
      </w:r>
      <w:r w:rsidRPr="00F67B35">
        <w:rPr>
          <w:lang w:eastAsia="en-GB"/>
        </w:rPr>
        <w:t>secondment</w:t>
      </w:r>
      <w:r>
        <w:rPr>
          <w:lang w:eastAsia="en-GB"/>
        </w:rPr>
        <w:t>, t</w:t>
      </w:r>
      <w:r w:rsidRPr="00F67B35" w:rsidR="00E21DBD">
        <w:rPr>
          <w:lang w:eastAsia="en-GB"/>
        </w:rPr>
        <w:t xml:space="preserve">he </w:t>
      </w:r>
      <w:r w:rsidR="00CB5B61">
        <w:rPr>
          <w:lang w:eastAsia="en-GB"/>
        </w:rPr>
        <w:t>national expert</w:t>
      </w:r>
      <w:r w:rsidRPr="00F67B35" w:rsidR="00E21DBD">
        <w:rPr>
          <w:lang w:eastAsia="en-GB"/>
        </w:rPr>
        <w:t xml:space="preserve"> remain</w:t>
      </w:r>
      <w:r w:rsidR="00092BCA">
        <w:rPr>
          <w:lang w:eastAsia="en-GB"/>
        </w:rPr>
        <w:t>s</w:t>
      </w:r>
      <w:r w:rsidRPr="00F67B35" w:rsidR="00E21DBD">
        <w:rPr>
          <w:lang w:eastAsia="en-GB"/>
        </w:rPr>
        <w:t xml:space="preserve"> employed and remunerated by his</w:t>
      </w:r>
      <w:r w:rsidR="009A2F00">
        <w:rPr>
          <w:lang w:eastAsia="en-GB"/>
        </w:rPr>
        <w:t xml:space="preserve"> </w:t>
      </w:r>
      <w:r w:rsidRPr="00F67B35" w:rsidR="00E21DBD">
        <w:rPr>
          <w:lang w:eastAsia="en-GB"/>
        </w:rPr>
        <w:t>/</w:t>
      </w:r>
      <w:r w:rsidR="009A2F00">
        <w:rPr>
          <w:lang w:eastAsia="en-GB"/>
        </w:rPr>
        <w:t xml:space="preserve"> </w:t>
      </w:r>
      <w:r w:rsidRPr="00F67B35" w:rsidR="00E21DBD">
        <w:rPr>
          <w:lang w:eastAsia="en-GB"/>
        </w:rPr>
        <w:t xml:space="preserve">her employer and covered by </w:t>
      </w:r>
      <w:r w:rsidR="00DF1E49">
        <w:rPr>
          <w:lang w:eastAsia="en-GB"/>
        </w:rPr>
        <w:t>his / her</w:t>
      </w:r>
      <w:r w:rsidRPr="00F67B35" w:rsidR="00E21DBD">
        <w:rPr>
          <w:lang w:eastAsia="en-GB"/>
        </w:rPr>
        <w:t xml:space="preserve"> (national) social security system. </w:t>
      </w:r>
    </w:p>
    <w:p w:rsidR="009A2F00" w:rsidP="009A2F00" w:rsidRDefault="00092BCA" w14:paraId="0A5C5740" w14:textId="3DC938F2">
      <w:pPr>
        <w:rPr>
          <w:lang w:eastAsia="en-GB"/>
        </w:rPr>
      </w:pPr>
      <w:r>
        <w:rPr>
          <w:lang w:eastAsia="en-GB"/>
        </w:rPr>
        <w:t xml:space="preserve">He </w:t>
      </w:r>
      <w:r w:rsidR="00CB5B61">
        <w:rPr>
          <w:lang w:eastAsia="en-GB"/>
        </w:rPr>
        <w:t xml:space="preserve">/ she </w:t>
      </w:r>
      <w:r>
        <w:rPr>
          <w:lang w:eastAsia="en-GB"/>
        </w:rPr>
        <w:t>shall</w:t>
      </w:r>
      <w:r w:rsidR="009A2F00">
        <w:rPr>
          <w:lang w:eastAsia="en-GB"/>
        </w:rPr>
        <w:t xml:space="preserve"> </w:t>
      </w:r>
      <w:r>
        <w:rPr>
          <w:lang w:eastAsia="en-GB"/>
        </w:rPr>
        <w:t xml:space="preserve">exercise his / her duties within the Commission under the conditions as set out by aforementioned SNE Decision and </w:t>
      </w:r>
      <w:r w:rsidR="009A2F00">
        <w:rPr>
          <w:lang w:eastAsia="en-GB"/>
        </w:rPr>
        <w:t xml:space="preserve">be subject to the rules on </w:t>
      </w:r>
      <w:r w:rsidRPr="00F67B35" w:rsidR="009A2F00">
        <w:rPr>
          <w:lang w:eastAsia="en-GB"/>
        </w:rPr>
        <w:t xml:space="preserve">confidentiality, loyalty and absence of conflict of interest as </w:t>
      </w:r>
      <w:r w:rsidR="009A2F00">
        <w:rPr>
          <w:lang w:eastAsia="en-GB"/>
        </w:rPr>
        <w:t xml:space="preserve">defined </w:t>
      </w:r>
      <w:r>
        <w:rPr>
          <w:lang w:eastAsia="en-GB"/>
        </w:rPr>
        <w:t>therein</w:t>
      </w:r>
      <w:r w:rsidR="009A2F00">
        <w:rPr>
          <w:lang w:eastAsia="en-GB"/>
        </w:rPr>
        <w:t>.</w:t>
      </w:r>
    </w:p>
    <w:p w:rsidR="009A2F00" w:rsidP="009A2F00" w:rsidRDefault="000A4668" w14:paraId="345CD839" w14:textId="413EE466">
      <w:pPr>
        <w:rPr>
          <w:lang w:eastAsia="en-GB"/>
        </w:rPr>
      </w:pPr>
      <w:r>
        <w:rPr>
          <w:lang w:eastAsia="en-GB"/>
        </w:rPr>
        <w:t>A</w:t>
      </w:r>
      <w:r w:rsidRPr="00F67B35" w:rsidR="00E21DBD">
        <w:rPr>
          <w:lang w:eastAsia="en-GB"/>
        </w:rPr>
        <w:t xml:space="preserve">llowances </w:t>
      </w:r>
      <w:r w:rsidR="009A2F00">
        <w:rPr>
          <w:lang w:eastAsia="en-GB"/>
        </w:rPr>
        <w:t>can</w:t>
      </w:r>
      <w:r>
        <w:rPr>
          <w:lang w:eastAsia="en-GB"/>
        </w:rPr>
        <w:t xml:space="preserve"> only be granted when the </w:t>
      </w:r>
      <w:r w:rsidR="00AB2CEA">
        <w:rPr>
          <w:lang w:eastAsia="en-GB"/>
        </w:rPr>
        <w:t>national expert</w:t>
      </w:r>
      <w:r>
        <w:rPr>
          <w:lang w:eastAsia="en-GB"/>
        </w:rPr>
        <w:t xml:space="preserve"> fulfils </w:t>
      </w:r>
      <w:r w:rsidRPr="00F67B35" w:rsidR="00E21DBD">
        <w:rPr>
          <w:lang w:eastAsia="en-GB"/>
        </w:rPr>
        <w:t>the conditions provided for in Art</w:t>
      </w:r>
      <w:r>
        <w:rPr>
          <w:lang w:eastAsia="en-GB"/>
        </w:rPr>
        <w:t xml:space="preserve">icle </w:t>
      </w:r>
      <w:r w:rsidRPr="00F67B35" w:rsidR="00E21DBD">
        <w:rPr>
          <w:lang w:eastAsia="en-GB"/>
        </w:rPr>
        <w:t xml:space="preserve">17 of the SNE decision. </w:t>
      </w:r>
    </w:p>
    <w:p w:rsidRPr="009A2F00" w:rsidR="00E21DBD" w:rsidP="009A2F00" w:rsidRDefault="009A2F00" w14:paraId="58EAEF9C" w14:textId="7CC176F8">
      <w:pPr>
        <w:rPr>
          <w:lang w:eastAsia="en-GB"/>
        </w:rPr>
      </w:pPr>
      <w:r>
        <w:rPr>
          <w:lang w:eastAsia="en-GB"/>
        </w:rPr>
        <w:t>Staff</w:t>
      </w:r>
      <w:r w:rsidRPr="00F67B35" w:rsidR="00E21DBD">
        <w:rPr>
          <w:lang w:eastAsia="en-GB"/>
        </w:rPr>
        <w:t xml:space="preserve"> posted in a </w:t>
      </w:r>
      <w:r w:rsidRPr="005168AD" w:rsidR="00E21DBD">
        <w:rPr>
          <w:bCs/>
          <w:lang w:eastAsia="en-GB"/>
        </w:rPr>
        <w:t>European Union Delegation</w:t>
      </w:r>
      <w:r w:rsidRPr="00F67B35" w:rsidR="00E21DBD">
        <w:rPr>
          <w:lang w:eastAsia="en-GB"/>
        </w:rPr>
        <w:t xml:space="preserve"> are required to have a security clearance (up to SECRET UE/EU SECRET level according to </w:t>
      </w:r>
      <w:hyperlink w:history="1" r:id="rId12">
        <w:r w:rsidR="005168AD">
          <w:rPr>
            <w:rStyle w:val="Hyperlink"/>
          </w:rPr>
          <w:t>Commission Decision (EU, Euratom) 2015/444 of 13 March 2015</w:t>
        </w:r>
      </w:hyperlink>
      <w:r w:rsidRPr="00F67B35" w:rsidR="00E21DBD">
        <w:rPr>
          <w:lang w:eastAsia="en-GB"/>
        </w:rPr>
        <w:t>.</w:t>
      </w:r>
      <w:r w:rsidR="00994062">
        <w:rPr>
          <w:lang w:eastAsia="en-GB"/>
        </w:rPr>
        <w:t xml:space="preserve"> </w:t>
      </w:r>
      <w:r w:rsidRPr="00F67B35" w:rsidR="00E21DBD">
        <w:rPr>
          <w:lang w:eastAsia="en-GB"/>
        </w:rPr>
        <w:t xml:space="preserve">The </w:t>
      </w:r>
      <w:r>
        <w:rPr>
          <w:lang w:eastAsia="en-GB"/>
        </w:rPr>
        <w:t>selected candidate</w:t>
      </w:r>
      <w:r w:rsidRPr="00F67B35" w:rsidR="00E21DBD">
        <w:rPr>
          <w:lang w:eastAsia="en-GB"/>
        </w:rPr>
        <w:t xml:space="preserve"> has the obligation to launch the vetting procedure before getting the secondment confirmation.</w:t>
      </w:r>
    </w:p>
    <w:p w:rsidRPr="00F67B35" w:rsidR="00E21DBD" w:rsidP="009A2F00" w:rsidRDefault="00E21DBD" w14:paraId="47F718AD" w14:textId="77777777">
      <w:pPr>
        <w:rPr>
          <w:lang w:val="en-US" w:eastAsia="en-GB"/>
        </w:rPr>
      </w:pPr>
    </w:p>
    <w:p w:rsidRPr="009A2F00" w:rsidR="00E21DBD" w:rsidP="00252050" w:rsidRDefault="00E21DBD" w14:paraId="6D7A78FD" w14:textId="720F9762">
      <w:pPr>
        <w:pStyle w:val="ListNumber"/>
        <w:keepNext/>
        <w:numPr>
          <w:ilvl w:val="0"/>
          <w:numId w:val="0"/>
        </w:numPr>
        <w:ind w:left="709" w:hanging="709"/>
        <w:rPr>
          <w:b/>
          <w:bCs/>
          <w:u w:val="single"/>
          <w:lang w:val="en-US" w:eastAsia="en-GB"/>
        </w:rPr>
      </w:pPr>
      <w:r w:rsidRPr="009A2F00">
        <w:rPr>
          <w:b/>
          <w:bCs/>
          <w:u w:val="single"/>
          <w:lang w:val="en-US" w:eastAsia="en-GB"/>
        </w:rPr>
        <w:t>Submission of applications and selection procedure</w:t>
      </w:r>
    </w:p>
    <w:p w:rsidRPr="00F67B35" w:rsidR="00E21DBD" w:rsidP="00252050" w:rsidRDefault="00E21DBD" w14:paraId="72F28585" w14:textId="77777777">
      <w:pPr>
        <w:keepNext/>
        <w:rPr>
          <w:b/>
          <w:lang w:val="en-US" w:eastAsia="en-GB"/>
        </w:rPr>
      </w:pPr>
      <w:r w:rsidRPr="00F67B35">
        <w:rPr>
          <w:lang w:eastAsia="en-GB"/>
        </w:rPr>
        <w:t>Candidates should send their application according to the</w:t>
      </w:r>
      <w:r w:rsidRPr="00F67B35">
        <w:rPr>
          <w:b/>
          <w:lang w:eastAsia="en-GB"/>
        </w:rPr>
        <w:t xml:space="preserve"> Europass CV format </w:t>
      </w:r>
      <w:r w:rsidRPr="00F67B35">
        <w:rPr>
          <w:lang w:eastAsia="en-GB"/>
        </w:rPr>
        <w:t>(</w:t>
      </w:r>
      <w:hyperlink w:history="1" r:id="rId13">
        <w:hyperlink w:history="1" r:id="rId14">
          <w:r w:rsidRPr="00F67B35">
            <w:rPr>
              <w:rStyle w:val="Hyperlink"/>
              <w:szCs w:val="24"/>
              <w:lang w:val="en-IE"/>
            </w:rPr>
            <w:t>Create your Europass CV | Europass</w:t>
          </w:r>
        </w:hyperlink>
      </w:hyperlink>
      <w:r w:rsidRPr="00F67B35">
        <w:rPr>
          <w:lang w:eastAsia="en-GB"/>
        </w:rPr>
        <w:t>) in English, French or German</w:t>
      </w:r>
      <w:r w:rsidRPr="00F67B35">
        <w:rPr>
          <w:b/>
          <w:lang w:eastAsia="en-GB"/>
        </w:rPr>
        <w:t xml:space="preserve"> </w:t>
      </w:r>
      <w:r w:rsidRPr="00F67B35">
        <w:rPr>
          <w:b/>
          <w:u w:val="single"/>
          <w:lang w:eastAsia="en-GB"/>
        </w:rPr>
        <w:t>only to the Permanent Representation / Diplomatic Mission to the EU of their country</w:t>
      </w:r>
      <w:r w:rsidRPr="00F67B35">
        <w:rPr>
          <w:lang w:eastAsia="en-GB"/>
        </w:rPr>
        <w:t>, which will forward it to the competent services of the Commission within the deadline fixed by the latter.</w:t>
      </w:r>
      <w:r w:rsidRPr="00F67B35">
        <w:rPr>
          <w:b/>
          <w:lang w:eastAsia="en-GB"/>
        </w:rPr>
        <w:t xml:space="preserve"> </w:t>
      </w:r>
      <w:r w:rsidRPr="00F67B35">
        <w:rPr>
          <w:lang w:val="en-US" w:eastAsia="en-GB"/>
        </w:rPr>
        <w:t>The CV must mention the date of birth and the nationality of the candidate.</w:t>
      </w:r>
      <w:r w:rsidRPr="00F67B35">
        <w:rPr>
          <w:b/>
          <w:lang w:val="en-US" w:eastAsia="en-GB"/>
        </w:rPr>
        <w:t xml:space="preserve"> </w:t>
      </w:r>
    </w:p>
    <w:p w:rsidRPr="00F67B35" w:rsidR="00E21DBD" w:rsidP="009A2F00" w:rsidRDefault="00E21DBD" w14:paraId="5D1B7045" w14:textId="64E896F7">
      <w:pPr>
        <w:rPr>
          <w:lang w:val="en-US" w:eastAsia="en-GB"/>
        </w:rPr>
      </w:pPr>
      <w:r w:rsidRPr="00F67B35">
        <w:rPr>
          <w:lang w:eastAsia="en-GB"/>
        </w:rPr>
        <w:t>Candidates are asked not to add any other documents</w:t>
      </w:r>
      <w:r w:rsidRPr="00F67B35">
        <w:rPr>
          <w:b/>
          <w:lang w:eastAsia="en-GB"/>
        </w:rPr>
        <w:t xml:space="preserve"> </w:t>
      </w:r>
      <w:r w:rsidRPr="00F67B35">
        <w:rPr>
          <w:lang w:eastAsia="en-GB"/>
        </w:rPr>
        <w:t>(such as copy of passport, copy of degrees or certificate of professional experience, etc.). If necessary, these will be requested at a later stage.</w:t>
      </w:r>
    </w:p>
    <w:p w:rsidRPr="00F67B35" w:rsidR="00E21DBD" w:rsidP="009A2F00" w:rsidRDefault="00E21DBD" w14:paraId="00AF0134" w14:textId="77777777">
      <w:pPr>
        <w:rPr>
          <w:lang w:val="en-US" w:eastAsia="en-GB"/>
        </w:rPr>
      </w:pPr>
    </w:p>
    <w:p w:rsidRPr="009A2F00" w:rsidR="00E21DBD" w:rsidP="00252050" w:rsidRDefault="00E21DBD" w14:paraId="54CDDE36" w14:textId="52364A78">
      <w:pPr>
        <w:pStyle w:val="ListNumber"/>
        <w:keepNext/>
        <w:numPr>
          <w:ilvl w:val="0"/>
          <w:numId w:val="0"/>
        </w:numPr>
        <w:ind w:left="709" w:hanging="709"/>
        <w:rPr>
          <w:b/>
          <w:bCs/>
          <w:u w:val="single"/>
          <w:lang w:val="en-US" w:eastAsia="en-GB"/>
        </w:rPr>
      </w:pPr>
      <w:r w:rsidRPr="009A2F00">
        <w:rPr>
          <w:b/>
          <w:bCs/>
          <w:u w:val="single"/>
          <w:lang w:val="en-US" w:eastAsia="en-GB"/>
        </w:rPr>
        <w:lastRenderedPageBreak/>
        <w:t>Processing of personal data</w:t>
      </w:r>
    </w:p>
    <w:p w:rsidR="00C75BA4" w:rsidP="00252050" w:rsidRDefault="00C75BA4" w14:paraId="047F58C7" w14:textId="6370C379">
      <w:pPr>
        <w:keepNext/>
      </w:pPr>
      <w:r>
        <w:t>The Commission will ensure that candidates’ personal data are processed as required by Regulation (EU) 2018/1725 of the European Parliament and of the Council</w:t>
      </w:r>
      <w:r w:rsidRPr="00C75BA4">
        <w:t> (</w:t>
      </w:r>
      <w:r>
        <w:rPr>
          <w:rStyle w:val="FootnoteReference"/>
          <w:sz w:val="22"/>
          <w:szCs w:val="22"/>
        </w:rPr>
        <w:footnoteReference w:id="1"/>
      </w:r>
      <w:r>
        <w:t xml:space="preserve">). This applies in particular to the confidentiality and security of such data. </w:t>
      </w:r>
      <w:bookmarkStart w:name="_Hlk132131276" w:id="2"/>
      <w:r>
        <w:t>Before applying, please read the attached privacy statement.</w:t>
      </w:r>
      <w:bookmarkEnd w:id="2"/>
    </w:p>
    <w:sectPr w:rsidR="00C75BA4">
      <w:footerReference w:type="even" r:id="rId15"/>
      <w:footerReference w:type="default" r:id="rId16"/>
      <w:endnotePr>
        <w:numFmt w:val="lowerLetter"/>
      </w:endnotePr>
      <w:pgSz w:w="11906" w:h="16838" w:orient="portrait"/>
      <w:pgMar w:top="1020" w:right="1701" w:bottom="1020" w:left="1587" w:header="601" w:footer="107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E4747" w:rsidRDefault="007E4747" w14:paraId="51E84F8B" w14:textId="77777777">
      <w:pPr>
        <w:spacing w:after="0"/>
      </w:pPr>
      <w:r>
        <w:separator/>
      </w:r>
    </w:p>
  </w:endnote>
  <w:endnote w:type="continuationSeparator" w:id="0">
    <w:p w:rsidR="007E4747" w:rsidRDefault="007E4747" w14:paraId="3BE54F41" w14:textId="7777777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462F" w:rsidRDefault="00F4683D" w14:paraId="76CD8DC6" w14:textId="77777777">
    <w:pPr>
      <w:pStyle w:val="FooterLine"/>
      <w:jc w:val="center"/>
    </w:pPr>
    <w:r>
      <w:fldChar w:fldCharType="begin"/>
    </w:r>
    <w:r>
      <w:instrText>PAGE   \* MERGEFORMAT</w:instrText>
    </w:r>
    <w:r>
      <w:fldChar w:fldCharType="separate"/>
    </w:r>
    <w:r w:rsidR="00E21DBD">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462F" w:rsidRDefault="00F4683D" w14:paraId="0BCD8D22" w14:textId="77777777">
    <w:pPr>
      <w:pStyle w:val="FooterLine"/>
      <w:jc w:val="center"/>
    </w:pPr>
    <w:r>
      <w:fldChar w:fldCharType="begin"/>
    </w:r>
    <w:r>
      <w:instrText>PAGE   \* MERGEFORMAT</w:instrText>
    </w:r>
    <w:r>
      <w:fldChar w:fldCharType="separate"/>
    </w:r>
    <w:r w:rsidR="00E21DBD">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E4747" w:rsidRDefault="007E4747" w14:paraId="2B85F0AE" w14:textId="77777777">
      <w:pPr>
        <w:spacing w:after="0"/>
      </w:pPr>
      <w:r>
        <w:separator/>
      </w:r>
    </w:p>
  </w:footnote>
  <w:footnote w:type="continuationSeparator" w:id="0">
    <w:p w:rsidR="007E4747" w:rsidRDefault="007E4747" w14:paraId="5BA96530" w14:textId="77777777">
      <w:pPr>
        <w:spacing w:after="0"/>
      </w:pPr>
      <w:r>
        <w:continuationSeparator/>
      </w:r>
    </w:p>
  </w:footnote>
  <w:footnote w:id="1">
    <w:p w:rsidRPr="00C75BA4" w:rsidR="00C75BA4" w:rsidRDefault="00C75BA4" w14:paraId="6AE43B3C" w14:textId="5EDB2F13">
      <w:pPr>
        <w:pStyle w:val="FootnoteText"/>
        <w:rPr>
          <w:lang w:val="en-IE"/>
        </w:rPr>
      </w:pPr>
      <w:r>
        <w:t>(</w:t>
      </w:r>
      <w:r>
        <w:rPr>
          <w:rStyle w:val="FootnoteReference"/>
        </w:rPr>
        <w:footnoteRef/>
      </w:r>
      <w:r>
        <w:t>)</w:t>
      </w:r>
      <w:r>
        <w:tab/>
      </w:r>
      <w:r>
        <w:rPr>
          <w:sz w:val="16"/>
          <w:szCs w:val="16"/>
        </w:rPr>
        <w:t xml:space="preserve">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 </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6248BBC2"/>
    <w:lvl w:ilvl="0">
      <w:start w:val="1"/>
      <w:numFmt w:val="decimal"/>
      <w:lvlText w:val="%1."/>
      <w:lvlJc w:val="left"/>
      <w:pPr>
        <w:tabs>
          <w:tab w:val="num" w:pos="360"/>
        </w:tabs>
        <w:ind w:left="360" w:hanging="360"/>
      </w:pPr>
    </w:lvl>
  </w:abstractNum>
  <w:abstractNum w:abstractNumId="1" w15:restartNumberingAfterBreak="0">
    <w:nsid w:val="0A2900F7"/>
    <w:multiLevelType w:val="multilevel"/>
    <w:tmpl w:val="CD327DD4"/>
    <w:name w:val="ListDash4Numbering"/>
    <w:lvl w:ilvl="0">
      <w:start w:val="1"/>
      <w:numFmt w:val="bullet"/>
      <w:pStyle w:val="ListDash4"/>
      <w:lvlText w:val="–"/>
      <w:lvlJc w:val="left"/>
      <w:pPr>
        <w:tabs>
          <w:tab w:val="num" w:pos="3163"/>
        </w:tabs>
        <w:ind w:left="3163" w:hanging="283"/>
      </w:pPr>
      <w:rPr>
        <w:rFonts w:ascii="Times New Roman" w:hAnsi="Times New Roman"/>
      </w:rPr>
    </w:lvl>
    <w:lvl w:ilvl="1">
      <w:start w:val="1"/>
      <w:numFmt w:val="bullet"/>
      <w:pStyle w:val="ListDash4Level2"/>
      <w:lvlText w:val="–"/>
      <w:lvlJc w:val="left"/>
      <w:pPr>
        <w:tabs>
          <w:tab w:val="num" w:pos="3447"/>
        </w:tabs>
        <w:ind w:left="3447" w:hanging="284"/>
      </w:pPr>
      <w:rPr>
        <w:rFonts w:ascii="Times New Roman" w:hAnsi="Times New Roman"/>
      </w:rPr>
    </w:lvl>
    <w:lvl w:ilvl="2">
      <w:start w:val="1"/>
      <w:numFmt w:val="bullet"/>
      <w:pStyle w:val="ListDash4Level3"/>
      <w:lvlText w:val="–"/>
      <w:lvlJc w:val="left"/>
      <w:pPr>
        <w:tabs>
          <w:tab w:val="num" w:pos="3730"/>
        </w:tabs>
        <w:ind w:left="3730" w:hanging="283"/>
      </w:pPr>
      <w:rPr>
        <w:rFonts w:ascii="Times New Roman" w:hAnsi="Times New Roman"/>
      </w:rPr>
    </w:lvl>
    <w:lvl w:ilvl="3">
      <w:start w:val="1"/>
      <w:numFmt w:val="bullet"/>
      <w:pStyle w:val="ListDash4Level4"/>
      <w:lvlText w:val="–"/>
      <w:lvlJc w:val="left"/>
      <w:pPr>
        <w:tabs>
          <w:tab w:val="num" w:pos="4014"/>
        </w:tabs>
        <w:ind w:left="401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0EFB7115"/>
    <w:multiLevelType w:val="multilevel"/>
    <w:tmpl w:val="B1E2D022"/>
    <w:name w:val="ListNumber3Numbering"/>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4"/>
        </w:tabs>
        <w:ind w:left="3334" w:hanging="709"/>
      </w:pPr>
    </w:lvl>
    <w:lvl w:ilvl="2">
      <w:start w:val="1"/>
      <w:numFmt w:val="bullet"/>
      <w:pStyle w:val="ListNumber3Level3"/>
      <w:lvlText w:val="–"/>
      <w:lvlJc w:val="left"/>
      <w:pPr>
        <w:tabs>
          <w:tab w:val="num" w:pos="4042"/>
        </w:tabs>
        <w:ind w:left="4042" w:hanging="708"/>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15:restartNumberingAfterBreak="0">
    <w:nsid w:val="120B7201"/>
    <w:multiLevelType w:val="multilevel"/>
    <w:tmpl w:val="8B28F110"/>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0">
    <w:nsid w:val="120B8345"/>
    <w:multiLevelType w:val="multilevel"/>
    <w:tmpl w:val="653AFF94"/>
    <w:name w:val="TableListNumberNumbering"/>
    <w:lvl w:ilvl="0">
      <w:start w:val="1"/>
      <w:numFmt w:val="decimal"/>
      <w:pStyle w:val="TableListNumber"/>
      <w:lvlText w:val="(%1)"/>
      <w:lvlJc w:val="left"/>
      <w:pPr>
        <w:tabs>
          <w:tab w:val="num" w:pos="454"/>
        </w:tabs>
        <w:ind w:left="454" w:hanging="454"/>
      </w:pPr>
    </w:lvl>
    <w:lvl w:ilvl="1">
      <w:start w:val="1"/>
      <w:numFmt w:val="lowerLetter"/>
      <w:pStyle w:val="TableListNumberLevel2"/>
      <w:lvlText w:val="(%2)"/>
      <w:lvlJc w:val="left"/>
      <w:pPr>
        <w:tabs>
          <w:tab w:val="num" w:pos="907"/>
        </w:tabs>
        <w:ind w:left="907" w:hanging="453"/>
      </w:pPr>
    </w:lvl>
    <w:lvl w:ilvl="2">
      <w:start w:val="1"/>
      <w:numFmt w:val="bullet"/>
      <w:pStyle w:val="TableListNumberLevel3"/>
      <w:lvlText w:val="–"/>
      <w:lvlJc w:val="left"/>
      <w:pPr>
        <w:tabs>
          <w:tab w:val="num" w:pos="1361"/>
        </w:tabs>
        <w:ind w:left="1361" w:hanging="454"/>
      </w:pPr>
      <w:rPr>
        <w:rFonts w:ascii="Times New Roman" w:hAnsi="Times New Roman"/>
      </w:rPr>
    </w:lvl>
    <w:lvl w:ilvl="3">
      <w:start w:val="1"/>
      <w:numFmt w:val="bullet"/>
      <w:pStyle w:val="TableListNumberLevel4"/>
      <w:lvlText w:val=""/>
      <w:lvlJc w:val="left"/>
      <w:pPr>
        <w:tabs>
          <w:tab w:val="num" w:pos="1814"/>
        </w:tabs>
        <w:ind w:left="1814" w:hanging="45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15:restartNumberingAfterBreak="0">
    <w:nsid w:val="1262685D"/>
    <w:multiLevelType w:val="multilevel"/>
    <w:tmpl w:val="6AD29548"/>
    <w:name w:val="ListBullet4Numbering"/>
    <w:lvl w:ilvl="0">
      <w:start w:val="1"/>
      <w:numFmt w:val="bullet"/>
      <w:pStyle w:val="ListBullet4"/>
      <w:lvlText w:val=""/>
      <w:lvlJc w:val="left"/>
      <w:pPr>
        <w:tabs>
          <w:tab w:val="num" w:pos="3163"/>
        </w:tabs>
        <w:ind w:left="3163" w:hanging="283"/>
      </w:pPr>
      <w:rPr>
        <w:rFonts w:ascii="Symbol" w:hAnsi="Symbol"/>
      </w:rPr>
    </w:lvl>
    <w:lvl w:ilvl="1">
      <w:start w:val="1"/>
      <w:numFmt w:val="bullet"/>
      <w:pStyle w:val="ListBullet4Level2"/>
      <w:lvlText w:val=""/>
      <w:lvlJc w:val="left"/>
      <w:pPr>
        <w:tabs>
          <w:tab w:val="num" w:pos="3447"/>
        </w:tabs>
        <w:ind w:left="3447" w:hanging="284"/>
      </w:pPr>
      <w:rPr>
        <w:rFonts w:ascii="Symbol" w:hAnsi="Symbol"/>
      </w:rPr>
    </w:lvl>
    <w:lvl w:ilvl="2">
      <w:start w:val="1"/>
      <w:numFmt w:val="bullet"/>
      <w:pStyle w:val="ListBullet4Level3"/>
      <w:lvlText w:val=""/>
      <w:lvlJc w:val="left"/>
      <w:pPr>
        <w:tabs>
          <w:tab w:val="num" w:pos="3730"/>
        </w:tabs>
        <w:ind w:left="3730" w:hanging="283"/>
      </w:pPr>
      <w:rPr>
        <w:rFonts w:ascii="Symbol" w:hAnsi="Symbol"/>
      </w:rPr>
    </w:lvl>
    <w:lvl w:ilvl="3">
      <w:start w:val="1"/>
      <w:numFmt w:val="bullet"/>
      <w:pStyle w:val="ListBullet4Level4"/>
      <w:lvlText w:val=""/>
      <w:lvlJc w:val="left"/>
      <w:pPr>
        <w:tabs>
          <w:tab w:val="num" w:pos="4014"/>
        </w:tabs>
        <w:ind w:left="401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15:restartNumberingAfterBreak="0">
    <w:nsid w:val="143D0A16"/>
    <w:multiLevelType w:val="multilevel"/>
    <w:tmpl w:val="6AF0E42A"/>
    <w:name w:val="ListBullet3Numbering"/>
    <w:lvl w:ilvl="0">
      <w:start w:val="1"/>
      <w:numFmt w:val="bullet"/>
      <w:pStyle w:val="ListBullet3"/>
      <w:lvlText w:val=""/>
      <w:lvlJc w:val="left"/>
      <w:pPr>
        <w:tabs>
          <w:tab w:val="num" w:pos="2200"/>
        </w:tabs>
        <w:ind w:left="2200" w:hanging="284"/>
      </w:pPr>
      <w:rPr>
        <w:rFonts w:ascii="Symbol" w:hAnsi="Symbol"/>
      </w:rPr>
    </w:lvl>
    <w:lvl w:ilvl="1">
      <w:start w:val="1"/>
      <w:numFmt w:val="bullet"/>
      <w:pStyle w:val="ListBullet3Level2"/>
      <w:lvlText w:val=""/>
      <w:lvlJc w:val="left"/>
      <w:pPr>
        <w:tabs>
          <w:tab w:val="num" w:pos="2483"/>
        </w:tabs>
        <w:ind w:left="2483" w:hanging="283"/>
      </w:pPr>
      <w:rPr>
        <w:rFonts w:ascii="Symbol" w:hAnsi="Symbol"/>
      </w:rPr>
    </w:lvl>
    <w:lvl w:ilvl="2">
      <w:start w:val="1"/>
      <w:numFmt w:val="bullet"/>
      <w:pStyle w:val="ListBullet3Level3"/>
      <w:lvlText w:val=""/>
      <w:lvlJc w:val="left"/>
      <w:pPr>
        <w:tabs>
          <w:tab w:val="num" w:pos="2767"/>
        </w:tabs>
        <w:ind w:left="2767" w:hanging="284"/>
      </w:pPr>
      <w:rPr>
        <w:rFonts w:ascii="Symbol" w:hAnsi="Symbol"/>
      </w:rPr>
    </w:lvl>
    <w:lvl w:ilvl="3">
      <w:start w:val="1"/>
      <w:numFmt w:val="bullet"/>
      <w:pStyle w:val="ListBullet3Level4"/>
      <w:lvlText w:val=""/>
      <w:lvlJc w:val="left"/>
      <w:pPr>
        <w:tabs>
          <w:tab w:val="num" w:pos="3050"/>
        </w:tabs>
        <w:ind w:left="3050"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15:restartNumberingAfterBreak="0">
    <w:nsid w:val="16A97E06"/>
    <w:multiLevelType w:val="hybridMultilevel"/>
    <w:tmpl w:val="70C489A6"/>
    <w:lvl w:ilvl="0" w:tplc="660AE6EE">
      <w:start w:val="7"/>
      <w:numFmt w:val="bullet"/>
      <w:lvlText w:val="-"/>
      <w:lvlJc w:val="left"/>
      <w:pPr>
        <w:ind w:left="360" w:hanging="360"/>
      </w:pPr>
      <w:rPr>
        <w:rFonts w:hint="default" w:ascii="Verdana" w:hAnsi="Verdana" w:eastAsia="Cambria" w:cs="Times New Roman"/>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8" w15:restartNumberingAfterBreak="0">
    <w:nsid w:val="172F0AC5"/>
    <w:multiLevelType w:val="multilevel"/>
    <w:tmpl w:val="73921F74"/>
    <w:name w:val="ListNumber2Numbering"/>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9" w15:restartNumberingAfterBreak="0">
    <w:nsid w:val="1C7B624F"/>
    <w:multiLevelType w:val="multilevel"/>
    <w:tmpl w:val="C0D42B4E"/>
    <w:name w:val="ListDash2Numbering"/>
    <w:lvl w:ilvl="0">
      <w:start w:val="1"/>
      <w:numFmt w:val="bullet"/>
      <w:pStyle w:val="ListDash2"/>
      <w:lvlText w:val="–"/>
      <w:lvlJc w:val="left"/>
      <w:pPr>
        <w:tabs>
          <w:tab w:val="num" w:pos="1361"/>
        </w:tabs>
        <w:ind w:left="1361" w:hanging="284"/>
      </w:pPr>
      <w:rPr>
        <w:rFonts w:ascii="Times New Roman" w:hAnsi="Times New Roman"/>
      </w:rPr>
    </w:lvl>
    <w:lvl w:ilvl="1">
      <w:start w:val="1"/>
      <w:numFmt w:val="bullet"/>
      <w:pStyle w:val="ListDash2Level2"/>
      <w:lvlText w:val="–"/>
      <w:lvlJc w:val="left"/>
      <w:pPr>
        <w:tabs>
          <w:tab w:val="num" w:pos="1644"/>
        </w:tabs>
        <w:ind w:left="1644" w:hanging="283"/>
      </w:pPr>
      <w:rPr>
        <w:rFonts w:ascii="Times New Roman" w:hAnsi="Times New Roman"/>
      </w:rPr>
    </w:lvl>
    <w:lvl w:ilvl="2">
      <w:start w:val="1"/>
      <w:numFmt w:val="bullet"/>
      <w:pStyle w:val="ListDash2Level3"/>
      <w:lvlText w:val="–"/>
      <w:lvlJc w:val="left"/>
      <w:pPr>
        <w:tabs>
          <w:tab w:val="num" w:pos="1928"/>
        </w:tabs>
        <w:ind w:left="1928" w:hanging="284"/>
      </w:pPr>
      <w:rPr>
        <w:rFonts w:ascii="Times New Roman" w:hAnsi="Times New Roman"/>
      </w:rPr>
    </w:lvl>
    <w:lvl w:ilvl="3">
      <w:start w:val="1"/>
      <w:numFmt w:val="bullet"/>
      <w:pStyle w:val="ListDash2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0" w15:restartNumberingAfterBreak="0">
    <w:nsid w:val="2C8DFDF8"/>
    <w:multiLevelType w:val="multilevel"/>
    <w:tmpl w:val="FB161274"/>
    <w:name w:val="ListBullet2Numbering"/>
    <w:lvl w:ilvl="0">
      <w:start w:val="1"/>
      <w:numFmt w:val="bullet"/>
      <w:pStyle w:val="ListBullet2"/>
      <w:lvlText w:val=""/>
      <w:lvlJc w:val="left"/>
      <w:pPr>
        <w:tabs>
          <w:tab w:val="num" w:pos="1361"/>
        </w:tabs>
        <w:ind w:left="1361" w:hanging="284"/>
      </w:pPr>
      <w:rPr>
        <w:rFonts w:ascii="Symbol" w:hAnsi="Symbol"/>
      </w:rPr>
    </w:lvl>
    <w:lvl w:ilvl="1">
      <w:start w:val="1"/>
      <w:numFmt w:val="bullet"/>
      <w:pStyle w:val="ListBullet2Level2"/>
      <w:lvlText w:val=""/>
      <w:lvlJc w:val="left"/>
      <w:pPr>
        <w:tabs>
          <w:tab w:val="num" w:pos="1644"/>
        </w:tabs>
        <w:ind w:left="1644" w:hanging="283"/>
      </w:pPr>
      <w:rPr>
        <w:rFonts w:ascii="Symbol" w:hAnsi="Symbol"/>
      </w:rPr>
    </w:lvl>
    <w:lvl w:ilvl="2">
      <w:start w:val="1"/>
      <w:numFmt w:val="bullet"/>
      <w:pStyle w:val="ListBullet2Level3"/>
      <w:lvlText w:val=""/>
      <w:lvlJc w:val="left"/>
      <w:pPr>
        <w:tabs>
          <w:tab w:val="num" w:pos="1928"/>
        </w:tabs>
        <w:ind w:left="1928" w:hanging="284"/>
      </w:pPr>
      <w:rPr>
        <w:rFonts w:ascii="Symbol" w:hAnsi="Symbol"/>
      </w:rPr>
    </w:lvl>
    <w:lvl w:ilvl="3">
      <w:start w:val="1"/>
      <w:numFmt w:val="bullet"/>
      <w:pStyle w:val="ListBullet2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1" w15:restartNumberingAfterBreak="0">
    <w:nsid w:val="2D293CE3"/>
    <w:multiLevelType w:val="multilevel"/>
    <w:tmpl w:val="617A232E"/>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15:restartNumberingAfterBreak="0">
    <w:nsid w:val="2D293CF4"/>
    <w:multiLevelType w:val="multilevel"/>
    <w:tmpl w:val="7CE62064"/>
    <w:name w:val="ContNumNumbering"/>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15:restartNumberingAfterBreak="0">
    <w:nsid w:val="2E326ED1"/>
    <w:multiLevelType w:val="hybridMultilevel"/>
    <w:tmpl w:val="2A3C9DD8"/>
    <w:lvl w:ilvl="0" w:tplc="18090001">
      <w:start w:val="1"/>
      <w:numFmt w:val="bullet"/>
      <w:lvlText w:val=""/>
      <w:lvlJc w:val="left"/>
      <w:pPr>
        <w:ind w:left="720" w:hanging="360"/>
      </w:pPr>
      <w:rPr>
        <w:rFonts w:hint="default" w:ascii="Symbol" w:hAnsi="Symbol"/>
      </w:rPr>
    </w:lvl>
    <w:lvl w:ilvl="1" w:tplc="56F67ED4">
      <w:numFmt w:val="bullet"/>
      <w:lvlText w:val="•"/>
      <w:lvlJc w:val="left"/>
      <w:pPr>
        <w:ind w:left="1440" w:hanging="360"/>
      </w:pPr>
      <w:rPr>
        <w:rFonts w:hint="default" w:ascii="Times New Roman" w:hAnsi="Times New Roman" w:eastAsia="Times New Roman" w:cs="Times New Roman"/>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14" w15:restartNumberingAfterBreak="0">
    <w:nsid w:val="36324F1E"/>
    <w:multiLevelType w:val="multilevel"/>
    <w:tmpl w:val="CD6C3A58"/>
    <w:name w:val="ListDash3Numbering"/>
    <w:lvl w:ilvl="0">
      <w:start w:val="1"/>
      <w:numFmt w:val="bullet"/>
      <w:pStyle w:val="ListDash3"/>
      <w:lvlText w:val="–"/>
      <w:lvlJc w:val="left"/>
      <w:pPr>
        <w:tabs>
          <w:tab w:val="num" w:pos="2200"/>
        </w:tabs>
        <w:ind w:left="2200" w:hanging="284"/>
      </w:pPr>
      <w:rPr>
        <w:rFonts w:ascii="Times New Roman" w:hAnsi="Times New Roman"/>
      </w:rPr>
    </w:lvl>
    <w:lvl w:ilvl="1">
      <w:start w:val="1"/>
      <w:numFmt w:val="bullet"/>
      <w:pStyle w:val="ListDash3Level2"/>
      <w:lvlText w:val="–"/>
      <w:lvlJc w:val="left"/>
      <w:pPr>
        <w:tabs>
          <w:tab w:val="num" w:pos="2483"/>
        </w:tabs>
        <w:ind w:left="2483" w:hanging="283"/>
      </w:pPr>
      <w:rPr>
        <w:rFonts w:ascii="Times New Roman" w:hAnsi="Times New Roman"/>
      </w:rPr>
    </w:lvl>
    <w:lvl w:ilvl="2">
      <w:start w:val="1"/>
      <w:numFmt w:val="bullet"/>
      <w:pStyle w:val="ListDash3Level3"/>
      <w:lvlText w:val="–"/>
      <w:lvlJc w:val="left"/>
      <w:pPr>
        <w:tabs>
          <w:tab w:val="num" w:pos="2767"/>
        </w:tabs>
        <w:ind w:left="2767" w:hanging="284"/>
      </w:pPr>
      <w:rPr>
        <w:rFonts w:ascii="Times New Roman" w:hAnsi="Times New Roman"/>
      </w:rPr>
    </w:lvl>
    <w:lvl w:ilvl="3">
      <w:start w:val="1"/>
      <w:numFmt w:val="bullet"/>
      <w:pStyle w:val="ListDash3Level4"/>
      <w:lvlText w:val="–"/>
      <w:lvlJc w:val="left"/>
      <w:pPr>
        <w:tabs>
          <w:tab w:val="num" w:pos="3050"/>
        </w:tabs>
        <w:ind w:left="3050"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5" w15:restartNumberingAfterBreak="0">
    <w:nsid w:val="37CB1E1C"/>
    <w:multiLevelType w:val="multilevel"/>
    <w:tmpl w:val="86F0099C"/>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6" w15:restartNumberingAfterBreak="0">
    <w:nsid w:val="3A7730C4"/>
    <w:multiLevelType w:val="multilevel"/>
    <w:tmpl w:val="E862797A"/>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7" w15:restartNumberingAfterBreak="0">
    <w:nsid w:val="429E662A"/>
    <w:multiLevelType w:val="multilevel"/>
    <w:tmpl w:val="59E04EE0"/>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8" w15:restartNumberingAfterBreak="0">
    <w:nsid w:val="4E1A63DF"/>
    <w:multiLevelType w:val="multilevel"/>
    <w:tmpl w:val="07326E7C"/>
    <w:name w:val="TableListBulletNumbering"/>
    <w:lvl w:ilvl="0">
      <w:start w:val="1"/>
      <w:numFmt w:val="bullet"/>
      <w:pStyle w:val="TableListBullet"/>
      <w:lvlText w:val=""/>
      <w:lvlJc w:val="left"/>
      <w:pPr>
        <w:tabs>
          <w:tab w:val="num" w:pos="283"/>
        </w:tabs>
        <w:ind w:left="283" w:hanging="283"/>
      </w:pPr>
      <w:rPr>
        <w:rFonts w:ascii="Symbol" w:hAnsi="Symbol"/>
      </w:rPr>
    </w:lvl>
    <w:lvl w:ilvl="1">
      <w:start w:val="1"/>
      <w:numFmt w:val="bullet"/>
      <w:pStyle w:val="TableListBulletLevel2"/>
      <w:lvlText w:val=""/>
      <w:lvlJc w:val="left"/>
      <w:pPr>
        <w:tabs>
          <w:tab w:val="num" w:pos="567"/>
        </w:tabs>
        <w:ind w:left="567" w:hanging="284"/>
      </w:pPr>
      <w:rPr>
        <w:rFonts w:ascii="Symbol" w:hAnsi="Symbol"/>
      </w:rPr>
    </w:lvl>
    <w:lvl w:ilvl="2">
      <w:start w:val="1"/>
      <w:numFmt w:val="bullet"/>
      <w:pStyle w:val="TableListBulletLevel3"/>
      <w:lvlText w:val=""/>
      <w:lvlJc w:val="left"/>
      <w:pPr>
        <w:tabs>
          <w:tab w:val="num" w:pos="850"/>
        </w:tabs>
        <w:ind w:left="850" w:hanging="283"/>
      </w:pPr>
      <w:rPr>
        <w:rFonts w:ascii="Symbol" w:hAnsi="Symbol"/>
      </w:rPr>
    </w:lvl>
    <w:lvl w:ilvl="3">
      <w:start w:val="1"/>
      <w:numFmt w:val="bullet"/>
      <w:pStyle w:val="Table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9" w15:restartNumberingAfterBreak="0">
    <w:nsid w:val="4E1A982C"/>
    <w:multiLevelType w:val="multilevel"/>
    <w:tmpl w:val="634233C4"/>
    <w:name w:val="ListBulletNumbering"/>
    <w:lvl w:ilvl="0">
      <w:start w:val="1"/>
      <w:numFmt w:val="bullet"/>
      <w:pStyle w:val="ListBullet"/>
      <w:lvlText w:val=""/>
      <w:lvlJc w:val="left"/>
      <w:pPr>
        <w:tabs>
          <w:tab w:val="num" w:pos="283"/>
        </w:tabs>
        <w:ind w:left="283" w:hanging="283"/>
      </w:pPr>
      <w:rPr>
        <w:rFonts w:ascii="Symbol" w:hAnsi="Symbol"/>
      </w:rPr>
    </w:lvl>
    <w:lvl w:ilvl="1">
      <w:start w:val="1"/>
      <w:numFmt w:val="bullet"/>
      <w:pStyle w:val="ListBulletLevel2"/>
      <w:lvlText w:val=""/>
      <w:lvlJc w:val="left"/>
      <w:pPr>
        <w:tabs>
          <w:tab w:val="num" w:pos="567"/>
        </w:tabs>
        <w:ind w:left="567" w:hanging="284"/>
      </w:pPr>
      <w:rPr>
        <w:rFonts w:ascii="Symbol" w:hAnsi="Symbol"/>
      </w:rPr>
    </w:lvl>
    <w:lvl w:ilvl="2">
      <w:start w:val="1"/>
      <w:numFmt w:val="bullet"/>
      <w:pStyle w:val="ListBulletLevel3"/>
      <w:lvlText w:val=""/>
      <w:lvlJc w:val="left"/>
      <w:pPr>
        <w:tabs>
          <w:tab w:val="num" w:pos="850"/>
        </w:tabs>
        <w:ind w:left="850" w:hanging="283"/>
      </w:pPr>
      <w:rPr>
        <w:rFonts w:ascii="Symbol" w:hAnsi="Symbol"/>
      </w:rPr>
    </w:lvl>
    <w:lvl w:ilvl="3">
      <w:start w:val="1"/>
      <w:numFmt w:val="bullet"/>
      <w:pStyle w:val="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0" w15:restartNumberingAfterBreak="0">
    <w:nsid w:val="5072619B"/>
    <w:multiLevelType w:val="multilevel"/>
    <w:tmpl w:val="AC302F1E"/>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1" w15:restartNumberingAfterBreak="0">
    <w:nsid w:val="50729B52"/>
    <w:multiLevelType w:val="multilevel"/>
    <w:tmpl w:val="9D205BAA"/>
    <w:name w:val="TableListDashNumbering"/>
    <w:lvl w:ilvl="0">
      <w:start w:val="1"/>
      <w:numFmt w:val="bullet"/>
      <w:pStyle w:val="TableListDash"/>
      <w:lvlText w:val="–"/>
      <w:lvlJc w:val="left"/>
      <w:pPr>
        <w:tabs>
          <w:tab w:val="num" w:pos="283"/>
        </w:tabs>
        <w:ind w:left="283" w:hanging="283"/>
      </w:pPr>
      <w:rPr>
        <w:rFonts w:ascii="Times New Roman" w:hAnsi="Times New Roman"/>
      </w:rPr>
    </w:lvl>
    <w:lvl w:ilvl="1">
      <w:start w:val="1"/>
      <w:numFmt w:val="bullet"/>
      <w:pStyle w:val="TableListDashLevel2"/>
      <w:lvlText w:val="–"/>
      <w:lvlJc w:val="left"/>
      <w:pPr>
        <w:tabs>
          <w:tab w:val="num" w:pos="567"/>
        </w:tabs>
        <w:ind w:left="567" w:hanging="284"/>
      </w:pPr>
      <w:rPr>
        <w:rFonts w:ascii="Times New Roman" w:hAnsi="Times New Roman"/>
      </w:rPr>
    </w:lvl>
    <w:lvl w:ilvl="2">
      <w:start w:val="1"/>
      <w:numFmt w:val="bullet"/>
      <w:pStyle w:val="TableListDashLevel3"/>
      <w:lvlText w:val="–"/>
      <w:lvlJc w:val="left"/>
      <w:pPr>
        <w:tabs>
          <w:tab w:val="num" w:pos="850"/>
        </w:tabs>
        <w:ind w:left="850" w:hanging="283"/>
      </w:pPr>
      <w:rPr>
        <w:rFonts w:ascii="Times New Roman" w:hAnsi="Times New Roman"/>
      </w:rPr>
    </w:lvl>
    <w:lvl w:ilvl="3">
      <w:start w:val="1"/>
      <w:numFmt w:val="bullet"/>
      <w:pStyle w:val="Table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2" w15:restartNumberingAfterBreak="0">
    <w:nsid w:val="6977472E"/>
    <w:multiLevelType w:val="multilevel"/>
    <w:tmpl w:val="B6462C44"/>
    <w:name w:val="ListNumber4Numbering"/>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3" w15:restartNumberingAfterBreak="0">
    <w:nsid w:val="7C65145E"/>
    <w:multiLevelType w:val="multilevel"/>
    <w:tmpl w:val="671E52A8"/>
    <w:name w:val="EurolookHeading"/>
    <w:lvl w:ilvl="0">
      <w:start w:val="1"/>
      <w:numFmt w:val="decimal"/>
      <w:pStyle w:val="Heading1"/>
      <w:lvlText w:val="%1."/>
      <w:lvlJc w:val="left"/>
      <w:pPr>
        <w:tabs>
          <w:tab w:val="num" w:pos="482"/>
        </w:tabs>
        <w:ind w:left="482" w:hanging="482"/>
      </w:pPr>
    </w:lvl>
    <w:lvl w:ilvl="1">
      <w:start w:val="1"/>
      <w:numFmt w:val="decimal"/>
      <w:pStyle w:val="Heading2"/>
      <w:lvlText w:val="%1.%2."/>
      <w:lvlJc w:val="left"/>
      <w:pPr>
        <w:tabs>
          <w:tab w:val="num" w:pos="1077"/>
        </w:tabs>
        <w:ind w:left="1077" w:hanging="595"/>
      </w:pPr>
    </w:lvl>
    <w:lvl w:ilvl="2">
      <w:start w:val="1"/>
      <w:numFmt w:val="decimal"/>
      <w:pStyle w:val="Heading3"/>
      <w:lvlText w:val="%1.%2.%3."/>
      <w:lvlJc w:val="left"/>
      <w:pPr>
        <w:tabs>
          <w:tab w:val="num" w:pos="1922"/>
        </w:tabs>
        <w:ind w:left="1922" w:hanging="845"/>
      </w:pPr>
    </w:lvl>
    <w:lvl w:ilvl="3">
      <w:start w:val="1"/>
      <w:numFmt w:val="decimal"/>
      <w:pStyle w:val="Heading4"/>
      <w:lvlText w:val="%1.%2.%3.%4."/>
      <w:lvlJc w:val="left"/>
      <w:pPr>
        <w:tabs>
          <w:tab w:val="num" w:pos="2880"/>
        </w:tabs>
        <w:ind w:left="2880" w:hanging="958"/>
      </w:pPr>
    </w:lvl>
    <w:lvl w:ilvl="4">
      <w:start w:val="1"/>
      <w:numFmt w:val="decimal"/>
      <w:pStyle w:val="Heading5"/>
      <w:lvlText w:val="%1.%2.%3.%4.%5."/>
      <w:lvlJc w:val="left"/>
      <w:pPr>
        <w:tabs>
          <w:tab w:val="num" w:pos="2880"/>
        </w:tabs>
        <w:ind w:left="3838" w:hanging="958"/>
      </w:pPr>
    </w:lvl>
    <w:lvl w:ilvl="5">
      <w:start w:val="1"/>
      <w:numFmt w:val="decimal"/>
      <w:pStyle w:val="Heading6"/>
      <w:lvlText w:val="%1.%2.%3.%4.%5.%6."/>
      <w:lvlJc w:val="left"/>
      <w:pPr>
        <w:tabs>
          <w:tab w:val="num" w:pos="2880"/>
        </w:tabs>
        <w:ind w:left="3838" w:hanging="958"/>
      </w:pPr>
    </w:lvl>
    <w:lvl w:ilvl="6">
      <w:start w:val="1"/>
      <w:numFmt w:val="decimal"/>
      <w:pStyle w:val="Heading7"/>
      <w:lvlText w:val="%1.%2.%3.%4.%5.%6.%7."/>
      <w:lvlJc w:val="left"/>
      <w:pPr>
        <w:tabs>
          <w:tab w:val="num" w:pos="2880"/>
        </w:tabs>
        <w:ind w:left="3838" w:hanging="958"/>
      </w:pPr>
    </w:lvl>
    <w:lvl w:ilvl="7">
      <w:start w:val="1"/>
      <w:numFmt w:val="decimal"/>
      <w:pStyle w:val="Heading8"/>
      <w:lvlText w:val="%1.%2.%3.%4.%5.%6.%7.%8."/>
      <w:lvlJc w:val="left"/>
      <w:pPr>
        <w:tabs>
          <w:tab w:val="num" w:pos="2880"/>
        </w:tabs>
        <w:ind w:left="3838" w:hanging="958"/>
      </w:pPr>
    </w:lvl>
    <w:lvl w:ilvl="8">
      <w:start w:val="1"/>
      <w:numFmt w:val="decimal"/>
      <w:pStyle w:val="Heading9"/>
      <w:lvlText w:val="%1.%2.%3.%4.%5.%6.%7.%8.%9."/>
      <w:lvlJc w:val="left"/>
      <w:pPr>
        <w:tabs>
          <w:tab w:val="num" w:pos="2880"/>
        </w:tabs>
        <w:ind w:left="3838" w:hanging="958"/>
      </w:pPr>
    </w:lvl>
  </w:abstractNum>
  <w:abstractNum w:abstractNumId="24" w15:restartNumberingAfterBreak="0">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num w:numId="1" w16cid:durableId="509029435">
    <w:abstractNumId w:val="1"/>
  </w:num>
  <w:num w:numId="2" w16cid:durableId="545487891">
    <w:abstractNumId w:val="14"/>
  </w:num>
  <w:num w:numId="3" w16cid:durableId="1086658250">
    <w:abstractNumId w:val="9"/>
  </w:num>
  <w:num w:numId="4" w16cid:durableId="1304967038">
    <w:abstractNumId w:val="15"/>
  </w:num>
  <w:num w:numId="5" w16cid:durableId="1625841798">
    <w:abstractNumId w:val="20"/>
  </w:num>
  <w:num w:numId="6" w16cid:durableId="1581711852">
    <w:abstractNumId w:val="22"/>
  </w:num>
  <w:num w:numId="7" w16cid:durableId="2010597269">
    <w:abstractNumId w:val="2"/>
  </w:num>
  <w:num w:numId="8" w16cid:durableId="154227337">
    <w:abstractNumId w:val="8"/>
  </w:num>
  <w:num w:numId="9" w16cid:durableId="835806501">
    <w:abstractNumId w:val="17"/>
  </w:num>
  <w:num w:numId="10" w16cid:durableId="229927604">
    <w:abstractNumId w:val="3"/>
  </w:num>
  <w:num w:numId="11" w16cid:durableId="882864602">
    <w:abstractNumId w:val="5"/>
  </w:num>
  <w:num w:numId="12" w16cid:durableId="1110204864">
    <w:abstractNumId w:val="6"/>
  </w:num>
  <w:num w:numId="13" w16cid:durableId="932594616">
    <w:abstractNumId w:val="10"/>
  </w:num>
  <w:num w:numId="14" w16cid:durableId="1671517048">
    <w:abstractNumId w:val="16"/>
  </w:num>
  <w:num w:numId="15" w16cid:durableId="348874439">
    <w:abstractNumId w:val="19"/>
  </w:num>
  <w:num w:numId="16" w16cid:durableId="788280695">
    <w:abstractNumId w:val="23"/>
  </w:num>
  <w:num w:numId="17" w16cid:durableId="1058630122">
    <w:abstractNumId w:val="11"/>
  </w:num>
  <w:num w:numId="18" w16cid:durableId="2120908136">
    <w:abstractNumId w:val="12"/>
  </w:num>
  <w:num w:numId="19" w16cid:durableId="686714860">
    <w:abstractNumId w:val="24"/>
  </w:num>
  <w:num w:numId="20" w16cid:durableId="422990355">
    <w:abstractNumId w:val="18"/>
  </w:num>
  <w:num w:numId="21" w16cid:durableId="1837307304">
    <w:abstractNumId w:val="21"/>
  </w:num>
  <w:num w:numId="22" w16cid:durableId="302121546">
    <w:abstractNumId w:val="4"/>
  </w:num>
  <w:num w:numId="23" w16cid:durableId="728039549">
    <w:abstractNumId w:val="7"/>
  </w:num>
  <w:num w:numId="24" w16cid:durableId="1971325234">
    <w:abstractNumId w:val="13"/>
  </w:num>
  <w:num w:numId="25" w16cid:durableId="342585248">
    <w:abstractNumId w:val="3"/>
  </w:num>
  <w:num w:numId="26" w16cid:durableId="1442873118">
    <w:abstractNumId w:val="3"/>
  </w:num>
  <w:num w:numId="27" w16cid:durableId="355229738">
    <w:abstractNumId w:val="3"/>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28" w16cid:durableId="1108502620">
    <w:abstractNumId w:val="3"/>
  </w:num>
  <w:num w:numId="29" w16cid:durableId="28797032">
    <w:abstractNumId w:val="3"/>
  </w:num>
  <w:num w:numId="30" w16cid:durableId="804199819">
    <w:abstractNumId w:val="3"/>
  </w:num>
  <w:num w:numId="31" w16cid:durableId="1935161499">
    <w:abstractNumId w:val="3"/>
  </w:num>
  <w:num w:numId="32" w16cid:durableId="1650359895">
    <w:abstractNumId w:val="3"/>
  </w:num>
  <w:num w:numId="33" w16cid:durableId="14111990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trackRevisions w:val="false"/>
  <w:documentProtection w:edit="forms" w:enforcement="0"/>
  <w:defaultTabStop w:val="720"/>
  <w:hyphenationZone w:val="425"/>
  <w:characterSpacingControl w:val="doNotCompress"/>
  <w:hdrShapeDefaults>
    <o:shapedefaults v:ext="edit" spidmax="2050"/>
  </w:hdrShapeDefault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EUROLOOK"/>
  </w:docVars>
  <w:rsids>
    <w:rsidRoot w:val="00E21DBD"/>
    <w:rsid w:val="0007110E"/>
    <w:rsid w:val="00092BCA"/>
    <w:rsid w:val="000A4668"/>
    <w:rsid w:val="000B7277"/>
    <w:rsid w:val="000D129C"/>
    <w:rsid w:val="00111AB6"/>
    <w:rsid w:val="0019756C"/>
    <w:rsid w:val="002109E6"/>
    <w:rsid w:val="00252050"/>
    <w:rsid w:val="00260F90"/>
    <w:rsid w:val="0027728A"/>
    <w:rsid w:val="002B3CBF"/>
    <w:rsid w:val="002F1384"/>
    <w:rsid w:val="00317D4C"/>
    <w:rsid w:val="003B0F1B"/>
    <w:rsid w:val="003B2039"/>
    <w:rsid w:val="003E2130"/>
    <w:rsid w:val="003E50A4"/>
    <w:rsid w:val="00471F69"/>
    <w:rsid w:val="005168AD"/>
    <w:rsid w:val="0058240F"/>
    <w:rsid w:val="005D1B85"/>
    <w:rsid w:val="006D497D"/>
    <w:rsid w:val="00732161"/>
    <w:rsid w:val="007E4747"/>
    <w:rsid w:val="007E531E"/>
    <w:rsid w:val="007F7012"/>
    <w:rsid w:val="00894A0C"/>
    <w:rsid w:val="008D02B7"/>
    <w:rsid w:val="008E64C2"/>
    <w:rsid w:val="009771B9"/>
    <w:rsid w:val="009902D6"/>
    <w:rsid w:val="00994062"/>
    <w:rsid w:val="00996CC6"/>
    <w:rsid w:val="009A2F00"/>
    <w:rsid w:val="009C5E27"/>
    <w:rsid w:val="00A033AD"/>
    <w:rsid w:val="00A763B8"/>
    <w:rsid w:val="00AB2CEA"/>
    <w:rsid w:val="00AF50E7"/>
    <w:rsid w:val="00AF6424"/>
    <w:rsid w:val="00B24CC5"/>
    <w:rsid w:val="00B65513"/>
    <w:rsid w:val="00BE0CB2"/>
    <w:rsid w:val="00C06724"/>
    <w:rsid w:val="00C504C7"/>
    <w:rsid w:val="00C75BA4"/>
    <w:rsid w:val="00CB5B61"/>
    <w:rsid w:val="00CE0C16"/>
    <w:rsid w:val="00D43DD7"/>
    <w:rsid w:val="00D448C3"/>
    <w:rsid w:val="00D96984"/>
    <w:rsid w:val="00DD41ED"/>
    <w:rsid w:val="00DF1E49"/>
    <w:rsid w:val="00E21DBD"/>
    <w:rsid w:val="00E27AB5"/>
    <w:rsid w:val="00E44D7F"/>
    <w:rsid w:val="00ED10DB"/>
    <w:rsid w:val="00F4683D"/>
    <w:rsid w:val="00F51BBB"/>
    <w:rsid w:val="00F6462F"/>
    <w:rsid w:val="00FC1029"/>
    <w:rsid w:val="00FD740F"/>
    <w:rsid w:val="00FE5259"/>
    <w:rsid w:val="2CEF1B8C"/>
    <w:rsid w:val="6D88D7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D501B"/>
  <w15:docId w15:val="{7535E56D-0E98-4549-A326-7EF60B1AD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sz w:val="24"/>
        <w:lang w:val="en-GB" w:eastAsia="en-IE" w:bidi="ar-SA"/>
      </w:rPr>
    </w:rPrDefault>
    <w:pPrDefault/>
  </w:docDefaults>
  <w:latentStyles w:defLockedState="1" w:defUIPriority="0" w:defSemiHidden="0" w:defUnhideWhenUsed="0" w:defQFormat="0" w:count="376">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unhideWhenUsed="1"/>
    <w:lsdException w:name="annotation text" w:semiHidden="1"/>
    <w:lsdException w:name="header" w:uiPriority="2"/>
    <w:lsdException w:name="footer" w:uiPriority="2"/>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unhideWhenUsed="1"/>
    <w:lsdException w:name="table of authorities" w:semiHidden="1"/>
    <w:lsdException w:name="macro" w:semiHidden="1"/>
    <w:lsdException w:name="toa heading" w:semiHidden="1"/>
    <w:lsdException w:name="List" w:semiHidden="1"/>
    <w:lsdException w:name="List Bullet" w:uiPriority="1"/>
    <w:lsdException w:name="List Number" w:uiPriority="1"/>
    <w:lsdException w:name="List 2" w:semiHidden="1"/>
    <w:lsdException w:name="List 3" w:semiHidden="1"/>
    <w:lsdException w:name="List 4" w:semiHidden="1"/>
    <w:lsdException w:name="List 5" w:semiHidden="1"/>
    <w:lsdException w:name="List Bullet 2" w:uiPriority="1"/>
    <w:lsdException w:name="List Bullet 3" w:uiPriority="1"/>
    <w:lsdException w:name="List Bullet 4" w:uiPriority="1"/>
    <w:lsdException w:name="List Bullet 5" w:semiHidden="1"/>
    <w:lsdException w:name="List Number 2" w:uiPriority="1"/>
    <w:lsdException w:name="List Number 3" w:uiPriority="1"/>
    <w:lsdException w:name="List Number 4" w:uiPriority="1"/>
    <w:lsdException w:name="List Number 5" w:semiHidden="1"/>
    <w:lsdException w:name="Title" w:uiPriority="1" w:qFormat="1"/>
    <w:lsdException w:name="Closing" w:uiPriority="2"/>
    <w:lsdException w:name="Signature" w:uiPriority="2"/>
    <w:lsdException w:name="Default Paragraph Font"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uiPriority="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uiPriority="99"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semiHidden="1" w:qFormat="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lsdException w:name="Mention" w:semiHidden="1"/>
    <w:lsdException w:name="Smart Hyperlink" w:semiHidden="1"/>
    <w:lsdException w:name="Hashtag" w:semiHidden="1"/>
    <w:lsdException w:name="Unresolved Mention" w:semiHidden="1"/>
    <w:lsdException w:name="Smart Link" w:semiHidden="1"/>
  </w:latentStyles>
  <w:style w:type="paragraph" w:styleId="Normal" w:default="1">
    <w:name w:val="Normal"/>
    <w:uiPriority w:val="1"/>
    <w:qFormat/>
    <w:pPr>
      <w:spacing w:after="240"/>
      <w:jc w:val="both"/>
    </w:pPr>
  </w:style>
  <w:style w:type="paragraph" w:styleId="Heading1">
    <w:name w:val="heading 1"/>
    <w:basedOn w:val="Normal"/>
    <w:next w:val="Text1"/>
    <w:uiPriority w:val="1"/>
    <w:qFormat/>
    <w:pPr>
      <w:keepNext/>
      <w:numPr>
        <w:numId w:val="16"/>
      </w:numPr>
      <w:spacing w:before="240"/>
      <w:outlineLvl w:val="0"/>
    </w:pPr>
    <w:rPr>
      <w:b/>
      <w:smallCaps/>
    </w:rPr>
  </w:style>
  <w:style w:type="paragraph" w:styleId="Heading2">
    <w:name w:val="heading 2"/>
    <w:basedOn w:val="Normal"/>
    <w:next w:val="Text2"/>
    <w:uiPriority w:val="1"/>
    <w:qFormat/>
    <w:pPr>
      <w:keepNext/>
      <w:numPr>
        <w:ilvl w:val="1"/>
        <w:numId w:val="16"/>
      </w:numPr>
      <w:outlineLvl w:val="1"/>
    </w:pPr>
    <w:rPr>
      <w:b/>
    </w:rPr>
  </w:style>
  <w:style w:type="paragraph" w:styleId="Heading3">
    <w:name w:val="heading 3"/>
    <w:basedOn w:val="Normal"/>
    <w:next w:val="Text3"/>
    <w:uiPriority w:val="1"/>
    <w:qFormat/>
    <w:pPr>
      <w:keepNext/>
      <w:numPr>
        <w:ilvl w:val="2"/>
        <w:numId w:val="16"/>
      </w:numPr>
      <w:outlineLvl w:val="2"/>
    </w:pPr>
    <w:rPr>
      <w:i/>
    </w:rPr>
  </w:style>
  <w:style w:type="paragraph" w:styleId="Heading4">
    <w:name w:val="heading 4"/>
    <w:basedOn w:val="Normal"/>
    <w:next w:val="Text4"/>
    <w:uiPriority w:val="1"/>
    <w:qFormat/>
    <w:pPr>
      <w:keepNext/>
      <w:numPr>
        <w:ilvl w:val="3"/>
        <w:numId w:val="16"/>
      </w:numPr>
      <w:outlineLvl w:val="3"/>
    </w:pPr>
  </w:style>
  <w:style w:type="paragraph" w:styleId="Heading5">
    <w:name w:val="heading 5"/>
    <w:basedOn w:val="Normal"/>
    <w:next w:val="Normal"/>
    <w:semiHidden/>
    <w:pPr>
      <w:keepNext/>
      <w:numPr>
        <w:ilvl w:val="4"/>
        <w:numId w:val="16"/>
      </w:numPr>
      <w:outlineLvl w:val="4"/>
    </w:pPr>
  </w:style>
  <w:style w:type="paragraph" w:styleId="Heading6">
    <w:name w:val="heading 6"/>
    <w:basedOn w:val="Normal"/>
    <w:next w:val="Normal"/>
    <w:semiHidden/>
    <w:pPr>
      <w:keepNext/>
      <w:numPr>
        <w:ilvl w:val="5"/>
        <w:numId w:val="16"/>
      </w:numPr>
      <w:outlineLvl w:val="5"/>
    </w:pPr>
  </w:style>
  <w:style w:type="paragraph" w:styleId="Heading7">
    <w:name w:val="heading 7"/>
    <w:basedOn w:val="Normal"/>
    <w:next w:val="Normal"/>
    <w:semiHidden/>
    <w:pPr>
      <w:keepNext/>
      <w:numPr>
        <w:ilvl w:val="6"/>
        <w:numId w:val="16"/>
      </w:numPr>
      <w:outlineLvl w:val="6"/>
    </w:pPr>
  </w:style>
  <w:style w:type="paragraph" w:styleId="Heading8">
    <w:name w:val="heading 8"/>
    <w:basedOn w:val="Normal"/>
    <w:next w:val="Normal"/>
    <w:semiHidden/>
    <w:pPr>
      <w:keepNext/>
      <w:numPr>
        <w:ilvl w:val="7"/>
        <w:numId w:val="16"/>
      </w:numPr>
      <w:outlineLvl w:val="7"/>
    </w:pPr>
  </w:style>
  <w:style w:type="paragraph" w:styleId="Heading9">
    <w:name w:val="heading 9"/>
    <w:basedOn w:val="Normal"/>
    <w:next w:val="Normal"/>
    <w:semiHidden/>
    <w:pPr>
      <w:keepNext/>
      <w:numPr>
        <w:ilvl w:val="8"/>
        <w:numId w:val="16"/>
      </w:numPr>
      <w:outlineLvl w:val="8"/>
    </w:p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BodyPlaceholderText" w:customStyle="1">
    <w:name w:val="BodyPlaceholderText"/>
    <w:basedOn w:val="PlaceholderText"/>
    <w:semiHidden/>
    <w:rPr>
      <w:color w:val="3366CC"/>
    </w:rPr>
  </w:style>
  <w:style w:type="character" w:styleId="CrossReference" w:customStyle="1">
    <w:name w:val="Cross Reference"/>
    <w:basedOn w:val="DefaultParagraphFont"/>
    <w:uiPriority w:val="2"/>
    <w:rPr>
      <w:i/>
    </w:rPr>
  </w:style>
  <w:style w:type="character" w:styleId="InstructionBlue" w:customStyle="1">
    <w:name w:val="InstructionBlue"/>
    <w:uiPriority w:val="1"/>
    <w:rPr>
      <w:i/>
      <w:color w:val="3366CC"/>
    </w:rPr>
  </w:style>
  <w:style w:type="character" w:styleId="InstructionPlaceholder" w:customStyle="1">
    <w:name w:val="InstructionPlaceholder"/>
    <w:uiPriority w:val="1"/>
    <w:rPr>
      <w:color w:val="CB3535"/>
    </w:rPr>
  </w:style>
  <w:style w:type="character" w:styleId="InstructionRed" w:customStyle="1">
    <w:name w:val="InstructionRed"/>
    <w:uiPriority w:val="1"/>
    <w:rPr>
      <w:i/>
      <w:color w:val="CB3535"/>
    </w:rPr>
  </w:style>
  <w:style w:type="character" w:styleId="MarkingLabel" w:customStyle="1">
    <w:name w:val="MarkingLabel"/>
    <w:semiHidden/>
    <w:rPr>
      <w:b/>
      <w:caps/>
      <w:sz w:val="28"/>
    </w:rPr>
  </w:style>
  <w:style w:type="character" w:styleId="MarkingText" w:customStyle="1">
    <w:name w:val="MarkingText"/>
    <w:semiHidden/>
    <w:rPr>
      <w:i/>
      <w:sz w:val="28"/>
    </w:rPr>
  </w:style>
  <w:style w:type="character" w:styleId="PlaceholderText">
    <w:name w:val="Placeholder Text"/>
    <w:basedOn w:val="DefaultParagraphFont"/>
    <w:semiHidden/>
    <w:rPr>
      <w:color w:val="288061"/>
    </w:rPr>
  </w:style>
  <w:style w:type="paragraph" w:styleId="AfterTable" w:customStyle="1">
    <w:name w:val="After Table"/>
    <w:semiHidden/>
    <w:rPr>
      <w:sz w:val="4"/>
    </w:rPr>
  </w:style>
  <w:style w:type="paragraph" w:styleId="AnnexTitle" w:customStyle="1">
    <w:name w:val="AnnexTitle"/>
    <w:basedOn w:val="Normal"/>
    <w:next w:val="Normal"/>
    <w:uiPriority w:val="1"/>
    <w:qFormat/>
    <w:pPr>
      <w:pageBreakBefore/>
      <w:numPr>
        <w:numId w:val="19"/>
      </w:numPr>
      <w:spacing w:after="480"/>
      <w:outlineLvl w:val="0"/>
    </w:pPr>
    <w:rPr>
      <w:b/>
      <w:sz w:val="32"/>
    </w:rPr>
  </w:style>
  <w:style w:type="paragraph" w:styleId="Caption">
    <w:name w:val="caption"/>
    <w:basedOn w:val="Normal"/>
    <w:next w:val="Normal"/>
    <w:semiHidden/>
    <w:pPr>
      <w:spacing w:before="160"/>
    </w:pPr>
    <w:rPr>
      <w:i/>
      <w:sz w:val="22"/>
    </w:rPr>
  </w:style>
  <w:style w:type="paragraph" w:styleId="Closing">
    <w:name w:val="Closing"/>
    <w:basedOn w:val="Normal"/>
    <w:next w:val="Signature"/>
    <w:uiPriority w:val="2"/>
    <w:pPr>
      <w:tabs>
        <w:tab w:val="left" w:pos="5102"/>
      </w:tabs>
      <w:spacing w:before="240"/>
      <w:ind w:left="5102"/>
      <w:jc w:val="left"/>
    </w:pPr>
  </w:style>
  <w:style w:type="paragraph" w:styleId="ClosingL" w:customStyle="1">
    <w:name w:val="ClosingL"/>
    <w:basedOn w:val="Normal"/>
    <w:next w:val="Signature"/>
    <w:uiPriority w:val="2"/>
    <w:pPr>
      <w:spacing w:before="240"/>
      <w:jc w:val="left"/>
    </w:pPr>
  </w:style>
  <w:style w:type="paragraph" w:styleId="ConfidentialUE" w:customStyle="1">
    <w:name w:val="Confidential UE"/>
    <w:basedOn w:val="Normal"/>
    <w:semiHidden/>
    <w:pPr>
      <w:spacing w:after="0"/>
      <w:jc w:val="center"/>
    </w:pPr>
    <w:rPr>
      <w:b/>
      <w:caps/>
      <w:sz w:val="32"/>
      <w:bdr w:val="single" w:color="auto" w:sz="18" w:space="0"/>
    </w:rPr>
  </w:style>
  <w:style w:type="paragraph" w:styleId="Contact" w:customStyle="1">
    <w:name w:val="Contact"/>
    <w:basedOn w:val="Normal"/>
    <w:uiPriority w:val="1"/>
    <w:pPr>
      <w:spacing w:before="480" w:after="0"/>
      <w:ind w:left="567" w:hanging="567"/>
      <w:contextualSpacing/>
      <w:jc w:val="left"/>
    </w:pPr>
  </w:style>
  <w:style w:type="paragraph" w:styleId="ContNum" w:customStyle="1">
    <w:name w:val="ContNum"/>
    <w:basedOn w:val="Normal"/>
    <w:uiPriority w:val="1"/>
    <w:qFormat/>
    <w:pPr>
      <w:numPr>
        <w:numId w:val="18"/>
      </w:numPr>
    </w:pPr>
  </w:style>
  <w:style w:type="paragraph" w:styleId="ContNumLevel2" w:customStyle="1">
    <w:name w:val="ContNum (Level 2)"/>
    <w:basedOn w:val="Normal"/>
    <w:uiPriority w:val="1"/>
    <w:pPr>
      <w:numPr>
        <w:ilvl w:val="1"/>
        <w:numId w:val="18"/>
      </w:numPr>
    </w:pPr>
  </w:style>
  <w:style w:type="paragraph" w:styleId="ContNumLevel3" w:customStyle="1">
    <w:name w:val="ContNum (Level 3)"/>
    <w:basedOn w:val="Normal"/>
    <w:uiPriority w:val="1"/>
    <w:pPr>
      <w:numPr>
        <w:ilvl w:val="2"/>
        <w:numId w:val="18"/>
      </w:numPr>
    </w:pPr>
  </w:style>
  <w:style w:type="paragraph" w:styleId="Copies" w:customStyle="1">
    <w:name w:val="Copies"/>
    <w:basedOn w:val="Normal"/>
    <w:uiPriority w:val="2"/>
    <w:pPr>
      <w:tabs>
        <w:tab w:val="left" w:pos="5669"/>
      </w:tabs>
      <w:spacing w:before="480" w:after="0"/>
      <w:ind w:left="1531" w:hanging="1531"/>
      <w:contextualSpacing/>
      <w:jc w:val="left"/>
    </w:pPr>
  </w:style>
  <w:style w:type="paragraph" w:styleId="Date">
    <w:name w:val="Date"/>
    <w:basedOn w:val="Normal"/>
    <w:next w:val="References"/>
    <w:uiPriority w:val="1"/>
    <w:pPr>
      <w:spacing w:after="0"/>
      <w:ind w:left="5102" w:right="-567"/>
      <w:jc w:val="left"/>
    </w:pPr>
  </w:style>
  <w:style w:type="paragraph" w:styleId="Designator" w:customStyle="1">
    <w:name w:val="Designator"/>
    <w:basedOn w:val="Normal"/>
    <w:semiHidden/>
    <w:pPr>
      <w:spacing w:after="0"/>
      <w:jc w:val="center"/>
    </w:pPr>
    <w:rPr>
      <w:b/>
      <w:caps/>
      <w:sz w:val="32"/>
    </w:rPr>
  </w:style>
  <w:style w:type="paragraph" w:styleId="DoubSign" w:customStyle="1">
    <w:name w:val="DoubSign"/>
    <w:basedOn w:val="Normal"/>
    <w:uiPriority w:val="2"/>
    <w:pPr>
      <w:spacing w:before="1200" w:after="0"/>
      <w:jc w:val="left"/>
    </w:pPr>
  </w:style>
  <w:style w:type="paragraph" w:styleId="EmptyParagraph" w:customStyle="1">
    <w:name w:val="Empty Paragraph"/>
    <w:basedOn w:val="Normal"/>
    <w:next w:val="Normal"/>
    <w:semiHidden/>
    <w:pPr>
      <w:spacing w:before="240"/>
    </w:pPr>
  </w:style>
  <w:style w:type="paragraph" w:styleId="Enclosures" w:customStyle="1">
    <w:name w:val="Enclosures"/>
    <w:basedOn w:val="Normal"/>
    <w:uiPriority w:val="2"/>
    <w:pPr>
      <w:keepNext/>
      <w:keepLines/>
      <w:tabs>
        <w:tab w:val="left" w:pos="5669"/>
      </w:tabs>
      <w:spacing w:before="480" w:after="0"/>
      <w:ind w:left="1531" w:hanging="1531"/>
      <w:contextualSpacing/>
      <w:jc w:val="left"/>
    </w:pPr>
  </w:style>
  <w:style w:type="paragraph" w:styleId="EndnoteText">
    <w:name w:val="endnote text"/>
    <w:basedOn w:val="Normal"/>
    <w:semiHidden/>
    <w:unhideWhenUsed/>
    <w:pPr>
      <w:spacing w:after="120"/>
      <w:ind w:left="357" w:hanging="357"/>
    </w:pPr>
    <w:rPr>
      <w:sz w:val="20"/>
    </w:rPr>
  </w:style>
  <w:style w:type="paragraph" w:styleId="FigureBody" w:customStyle="1">
    <w:name w:val="Figure Body"/>
    <w:basedOn w:val="Normal"/>
    <w:next w:val="FigureSource"/>
    <w:uiPriority w:val="2"/>
    <w:pPr>
      <w:keepNext/>
      <w:spacing w:after="40"/>
    </w:pPr>
  </w:style>
  <w:style w:type="paragraph" w:styleId="FigureBody1" w:customStyle="1">
    <w:name w:val="Figure Body 1"/>
    <w:basedOn w:val="Text1"/>
    <w:next w:val="FigureSource1"/>
    <w:uiPriority w:val="2"/>
    <w:pPr>
      <w:keepNext/>
      <w:spacing w:after="40"/>
    </w:pPr>
  </w:style>
  <w:style w:type="paragraph" w:styleId="FigureBody2" w:customStyle="1">
    <w:name w:val="Figure Body 2"/>
    <w:basedOn w:val="Text2"/>
    <w:next w:val="FigureSource2"/>
    <w:uiPriority w:val="2"/>
    <w:pPr>
      <w:keepNext/>
      <w:spacing w:after="40"/>
    </w:pPr>
  </w:style>
  <w:style w:type="paragraph" w:styleId="FigureBody3" w:customStyle="1">
    <w:name w:val="Figure Body 3"/>
    <w:basedOn w:val="Text3"/>
    <w:next w:val="FigureSource3"/>
    <w:uiPriority w:val="2"/>
    <w:pPr>
      <w:keepNext/>
      <w:spacing w:after="40"/>
    </w:pPr>
  </w:style>
  <w:style w:type="paragraph" w:styleId="FigureBody4" w:customStyle="1">
    <w:name w:val="Figure Body 4"/>
    <w:basedOn w:val="Text4"/>
    <w:next w:val="FigureSource4"/>
    <w:uiPriority w:val="2"/>
    <w:pPr>
      <w:keepNext/>
      <w:spacing w:after="40"/>
    </w:pPr>
  </w:style>
  <w:style w:type="paragraph" w:styleId="FigureSource" w:customStyle="1">
    <w:name w:val="Figure Source"/>
    <w:basedOn w:val="Normal"/>
    <w:next w:val="Normal"/>
    <w:uiPriority w:val="2"/>
    <w:rPr>
      <w:sz w:val="20"/>
    </w:rPr>
  </w:style>
  <w:style w:type="paragraph" w:styleId="FigureSource1" w:customStyle="1">
    <w:name w:val="Figure Source 1"/>
    <w:basedOn w:val="Text1"/>
    <w:next w:val="Text1"/>
    <w:uiPriority w:val="2"/>
    <w:rPr>
      <w:sz w:val="20"/>
    </w:rPr>
  </w:style>
  <w:style w:type="paragraph" w:styleId="FigureSource2" w:customStyle="1">
    <w:name w:val="Figure Source 2"/>
    <w:basedOn w:val="Text2"/>
    <w:next w:val="Text2"/>
    <w:uiPriority w:val="2"/>
    <w:rPr>
      <w:sz w:val="20"/>
    </w:rPr>
  </w:style>
  <w:style w:type="paragraph" w:styleId="FigureSource3" w:customStyle="1">
    <w:name w:val="Figure Source 3"/>
    <w:basedOn w:val="Text3"/>
    <w:next w:val="Text3"/>
    <w:uiPriority w:val="2"/>
    <w:rPr>
      <w:sz w:val="20"/>
    </w:rPr>
  </w:style>
  <w:style w:type="paragraph" w:styleId="FigureSource4" w:customStyle="1">
    <w:name w:val="Figure Source 4"/>
    <w:basedOn w:val="Text4"/>
    <w:next w:val="Text4"/>
    <w:uiPriority w:val="2"/>
    <w:rPr>
      <w:sz w:val="20"/>
    </w:rPr>
  </w:style>
  <w:style w:type="paragraph" w:styleId="FigureTitle" w:customStyle="1">
    <w:name w:val="Figure Title"/>
    <w:basedOn w:val="Normal"/>
    <w:next w:val="FigureBody"/>
    <w:uiPriority w:val="2"/>
    <w:pPr>
      <w:keepNext/>
      <w:spacing w:after="120"/>
    </w:pPr>
    <w:rPr>
      <w:b/>
      <w:i/>
    </w:rPr>
  </w:style>
  <w:style w:type="paragraph" w:styleId="FigureTitle1" w:customStyle="1">
    <w:name w:val="Figure Title 1"/>
    <w:basedOn w:val="Text1"/>
    <w:next w:val="FigureBody1"/>
    <w:uiPriority w:val="2"/>
    <w:pPr>
      <w:keepNext/>
      <w:spacing w:after="120"/>
    </w:pPr>
    <w:rPr>
      <w:b/>
      <w:i/>
    </w:rPr>
  </w:style>
  <w:style w:type="paragraph" w:styleId="FigureTitle2" w:customStyle="1">
    <w:name w:val="Figure Title 2"/>
    <w:basedOn w:val="Text2"/>
    <w:next w:val="FigureBody2"/>
    <w:uiPriority w:val="2"/>
    <w:pPr>
      <w:keepNext/>
      <w:spacing w:after="120"/>
    </w:pPr>
    <w:rPr>
      <w:b/>
      <w:i/>
    </w:rPr>
  </w:style>
  <w:style w:type="paragraph" w:styleId="FigureTitle3" w:customStyle="1">
    <w:name w:val="Figure Title 3"/>
    <w:basedOn w:val="Text3"/>
    <w:next w:val="FigureBody3"/>
    <w:uiPriority w:val="2"/>
    <w:pPr>
      <w:keepNext/>
      <w:spacing w:after="120"/>
    </w:pPr>
    <w:rPr>
      <w:b/>
      <w:i/>
    </w:rPr>
  </w:style>
  <w:style w:type="paragraph" w:styleId="FigureTitle4" w:customStyle="1">
    <w:name w:val="Figure Title 4"/>
    <w:basedOn w:val="Text4"/>
    <w:next w:val="FigureBody4"/>
    <w:uiPriority w:val="2"/>
    <w:pPr>
      <w:keepNext/>
      <w:spacing w:after="120"/>
    </w:pPr>
    <w:rPr>
      <w:b/>
      <w:i/>
    </w:rPr>
  </w:style>
  <w:style w:type="paragraph" w:styleId="Footer">
    <w:name w:val="footer"/>
    <w:basedOn w:val="Normal"/>
    <w:uiPriority w:val="2"/>
    <w:pPr>
      <w:spacing w:after="0"/>
      <w:ind w:right="-567"/>
      <w:jc w:val="left"/>
    </w:pPr>
    <w:rPr>
      <w:sz w:val="16"/>
    </w:rPr>
  </w:style>
  <w:style w:type="paragraph" w:styleId="FooterLine" w:customStyle="1">
    <w:name w:val="Footer Line"/>
    <w:basedOn w:val="Footer"/>
    <w:next w:val="Footer"/>
    <w:uiPriority w:val="2"/>
    <w:pPr>
      <w:tabs>
        <w:tab w:val="right" w:pos="8646"/>
      </w:tabs>
      <w:spacing w:before="120"/>
      <w:ind w:right="0"/>
    </w:pPr>
  </w:style>
  <w:style w:type="paragraph" w:styleId="FootnoteText">
    <w:name w:val="footnote text"/>
    <w:basedOn w:val="Normal"/>
    <w:semiHidden/>
    <w:unhideWhenUsed/>
    <w:pPr>
      <w:spacing w:after="120"/>
      <w:ind w:left="357" w:hanging="357"/>
    </w:pPr>
    <w:rPr>
      <w:sz w:val="20"/>
    </w:rPr>
  </w:style>
  <w:style w:type="paragraph" w:styleId="LegalNumPar" w:customStyle="1">
    <w:name w:val="LegalNumPar"/>
    <w:basedOn w:val="Normal"/>
    <w:uiPriority w:val="1"/>
    <w:qFormat/>
    <w:pPr>
      <w:numPr>
        <w:numId w:val="17"/>
      </w:numPr>
      <w:spacing w:line="360" w:lineRule="auto"/>
    </w:pPr>
  </w:style>
  <w:style w:type="paragraph" w:styleId="LegalNumPar2" w:customStyle="1">
    <w:name w:val="LegalNumPar2"/>
    <w:basedOn w:val="Normal"/>
    <w:uiPriority w:val="1"/>
    <w:pPr>
      <w:numPr>
        <w:ilvl w:val="1"/>
        <w:numId w:val="17"/>
      </w:numPr>
      <w:spacing w:line="360" w:lineRule="auto"/>
    </w:pPr>
  </w:style>
  <w:style w:type="paragraph" w:styleId="LegalNumPar3" w:customStyle="1">
    <w:name w:val="LegalNumPar3"/>
    <w:basedOn w:val="Normal"/>
    <w:uiPriority w:val="1"/>
    <w:pPr>
      <w:numPr>
        <w:ilvl w:val="2"/>
        <w:numId w:val="17"/>
      </w:numPr>
      <w:spacing w:line="360" w:lineRule="auto"/>
    </w:pPr>
  </w:style>
  <w:style w:type="paragraph" w:styleId="ListBullet">
    <w:name w:val="List Bullet"/>
    <w:basedOn w:val="Normal"/>
    <w:uiPriority w:val="1"/>
    <w:pPr>
      <w:numPr>
        <w:numId w:val="15"/>
      </w:numPr>
    </w:pPr>
  </w:style>
  <w:style w:type="paragraph" w:styleId="ListBulletLevel2" w:customStyle="1">
    <w:name w:val="List Bullet (Level 2)"/>
    <w:basedOn w:val="Normal"/>
    <w:uiPriority w:val="1"/>
    <w:pPr>
      <w:numPr>
        <w:ilvl w:val="1"/>
        <w:numId w:val="15"/>
      </w:numPr>
    </w:pPr>
  </w:style>
  <w:style w:type="paragraph" w:styleId="ListBulletLevel3" w:customStyle="1">
    <w:name w:val="List Bullet (Level 3)"/>
    <w:basedOn w:val="Normal"/>
    <w:uiPriority w:val="1"/>
    <w:semiHidden/>
    <w:unhideWhenUsed/>
    <w:pPr>
      <w:numPr>
        <w:ilvl w:val="2"/>
        <w:numId w:val="15"/>
      </w:numPr>
    </w:pPr>
  </w:style>
  <w:style w:type="paragraph" w:styleId="ListBulletLevel4" w:customStyle="1">
    <w:name w:val="List Bullet (Level 4)"/>
    <w:basedOn w:val="Normal"/>
    <w:uiPriority w:val="1"/>
    <w:semiHidden/>
    <w:unhideWhenUsed/>
    <w:pPr>
      <w:numPr>
        <w:ilvl w:val="3"/>
        <w:numId w:val="15"/>
      </w:numPr>
    </w:pPr>
  </w:style>
  <w:style w:type="paragraph" w:styleId="ListBullet1" w:customStyle="1">
    <w:name w:val="List Bullet 1"/>
    <w:basedOn w:val="Text1"/>
    <w:uiPriority w:val="1"/>
    <w:pPr>
      <w:numPr>
        <w:numId w:val="14"/>
      </w:numPr>
    </w:pPr>
  </w:style>
  <w:style w:type="paragraph" w:styleId="ListBullet1Level2" w:customStyle="1">
    <w:name w:val="List Bullet 1 (Level 2)"/>
    <w:basedOn w:val="Text1"/>
    <w:uiPriority w:val="1"/>
    <w:pPr>
      <w:numPr>
        <w:ilvl w:val="1"/>
        <w:numId w:val="14"/>
      </w:numPr>
    </w:pPr>
  </w:style>
  <w:style w:type="paragraph" w:styleId="ListBullet1Level3" w:customStyle="1">
    <w:name w:val="List Bullet 1 (Level 3)"/>
    <w:basedOn w:val="Text1"/>
    <w:uiPriority w:val="1"/>
    <w:semiHidden/>
    <w:unhideWhenUsed/>
    <w:pPr>
      <w:numPr>
        <w:ilvl w:val="2"/>
        <w:numId w:val="14"/>
      </w:numPr>
    </w:pPr>
  </w:style>
  <w:style w:type="paragraph" w:styleId="ListBullet1Level4" w:customStyle="1">
    <w:name w:val="List Bullet 1 (Level 4)"/>
    <w:basedOn w:val="Text1"/>
    <w:uiPriority w:val="1"/>
    <w:semiHidden/>
    <w:unhideWhenUsed/>
    <w:pPr>
      <w:numPr>
        <w:ilvl w:val="3"/>
        <w:numId w:val="14"/>
      </w:numPr>
    </w:pPr>
  </w:style>
  <w:style w:type="paragraph" w:styleId="ListBullet2">
    <w:name w:val="List Bullet 2"/>
    <w:basedOn w:val="Text2"/>
    <w:uiPriority w:val="1"/>
    <w:pPr>
      <w:numPr>
        <w:numId w:val="13"/>
      </w:numPr>
    </w:pPr>
  </w:style>
  <w:style w:type="paragraph" w:styleId="ListBullet2Level2" w:customStyle="1">
    <w:name w:val="List Bullet 2 (Level 2)"/>
    <w:basedOn w:val="Text2"/>
    <w:uiPriority w:val="1"/>
    <w:pPr>
      <w:numPr>
        <w:ilvl w:val="1"/>
        <w:numId w:val="13"/>
      </w:numPr>
    </w:pPr>
  </w:style>
  <w:style w:type="paragraph" w:styleId="ListBullet2Level3" w:customStyle="1">
    <w:name w:val="List Bullet 2 (Level 3)"/>
    <w:basedOn w:val="Text2"/>
    <w:uiPriority w:val="1"/>
    <w:semiHidden/>
    <w:unhideWhenUsed/>
    <w:pPr>
      <w:numPr>
        <w:ilvl w:val="2"/>
        <w:numId w:val="13"/>
      </w:numPr>
    </w:pPr>
  </w:style>
  <w:style w:type="paragraph" w:styleId="ListBullet2Level4" w:customStyle="1">
    <w:name w:val="List Bullet 2 (Level 4)"/>
    <w:basedOn w:val="Text2"/>
    <w:uiPriority w:val="1"/>
    <w:semiHidden/>
    <w:unhideWhenUsed/>
    <w:pPr>
      <w:numPr>
        <w:ilvl w:val="3"/>
        <w:numId w:val="13"/>
      </w:numPr>
    </w:pPr>
  </w:style>
  <w:style w:type="paragraph" w:styleId="ListBullet3">
    <w:name w:val="List Bullet 3"/>
    <w:basedOn w:val="Text3"/>
    <w:uiPriority w:val="1"/>
    <w:pPr>
      <w:numPr>
        <w:numId w:val="12"/>
      </w:numPr>
    </w:pPr>
  </w:style>
  <w:style w:type="paragraph" w:styleId="ListBullet3Level2" w:customStyle="1">
    <w:name w:val="List Bullet 3 (Level 2)"/>
    <w:basedOn w:val="Text3"/>
    <w:uiPriority w:val="1"/>
    <w:pPr>
      <w:numPr>
        <w:ilvl w:val="1"/>
        <w:numId w:val="12"/>
      </w:numPr>
    </w:pPr>
  </w:style>
  <w:style w:type="paragraph" w:styleId="ListBullet3Level3" w:customStyle="1">
    <w:name w:val="List Bullet 3 (Level 3)"/>
    <w:basedOn w:val="Text3"/>
    <w:uiPriority w:val="1"/>
    <w:semiHidden/>
    <w:unhideWhenUsed/>
    <w:pPr>
      <w:numPr>
        <w:ilvl w:val="2"/>
        <w:numId w:val="12"/>
      </w:numPr>
    </w:pPr>
  </w:style>
  <w:style w:type="paragraph" w:styleId="ListBullet3Level4" w:customStyle="1">
    <w:name w:val="List Bullet 3 (Level 4)"/>
    <w:basedOn w:val="Text3"/>
    <w:uiPriority w:val="1"/>
    <w:semiHidden/>
    <w:unhideWhenUsed/>
    <w:pPr>
      <w:numPr>
        <w:ilvl w:val="3"/>
        <w:numId w:val="12"/>
      </w:numPr>
    </w:pPr>
  </w:style>
  <w:style w:type="paragraph" w:styleId="ListBullet4">
    <w:name w:val="List Bullet 4"/>
    <w:basedOn w:val="Text4"/>
    <w:uiPriority w:val="1"/>
    <w:pPr>
      <w:numPr>
        <w:numId w:val="11"/>
      </w:numPr>
    </w:pPr>
  </w:style>
  <w:style w:type="paragraph" w:styleId="ListBullet4Level2" w:customStyle="1">
    <w:name w:val="List Bullet 4 (Level 2)"/>
    <w:basedOn w:val="Text4"/>
    <w:uiPriority w:val="1"/>
    <w:pPr>
      <w:numPr>
        <w:ilvl w:val="1"/>
        <w:numId w:val="11"/>
      </w:numPr>
    </w:pPr>
  </w:style>
  <w:style w:type="paragraph" w:styleId="ListBullet4Level3" w:customStyle="1">
    <w:name w:val="List Bullet 4 (Level 3)"/>
    <w:basedOn w:val="Text4"/>
    <w:uiPriority w:val="1"/>
    <w:semiHidden/>
    <w:unhideWhenUsed/>
    <w:pPr>
      <w:numPr>
        <w:ilvl w:val="2"/>
        <w:numId w:val="11"/>
      </w:numPr>
    </w:pPr>
  </w:style>
  <w:style w:type="paragraph" w:styleId="ListBullet4Level4" w:customStyle="1">
    <w:name w:val="List Bullet 4 (Level 4)"/>
    <w:basedOn w:val="Text4"/>
    <w:uiPriority w:val="1"/>
    <w:semiHidden/>
    <w:unhideWhenUsed/>
    <w:pPr>
      <w:numPr>
        <w:ilvl w:val="3"/>
        <w:numId w:val="11"/>
      </w:numPr>
    </w:pPr>
  </w:style>
  <w:style w:type="paragraph" w:styleId="ListDash" w:customStyle="1">
    <w:name w:val="List Dash"/>
    <w:basedOn w:val="Normal"/>
    <w:uiPriority w:val="1"/>
    <w:pPr>
      <w:numPr>
        <w:numId w:val="5"/>
      </w:numPr>
    </w:pPr>
  </w:style>
  <w:style w:type="paragraph" w:styleId="ListDashLevel2" w:customStyle="1">
    <w:name w:val="List Dash (Level 2)"/>
    <w:basedOn w:val="Normal"/>
    <w:uiPriority w:val="1"/>
    <w:pPr>
      <w:numPr>
        <w:ilvl w:val="1"/>
        <w:numId w:val="5"/>
      </w:numPr>
    </w:pPr>
  </w:style>
  <w:style w:type="paragraph" w:styleId="ListDashLevel3" w:customStyle="1">
    <w:name w:val="List Dash (Level 3)"/>
    <w:basedOn w:val="Normal"/>
    <w:uiPriority w:val="1"/>
    <w:semiHidden/>
    <w:unhideWhenUsed/>
    <w:pPr>
      <w:numPr>
        <w:ilvl w:val="2"/>
        <w:numId w:val="5"/>
      </w:numPr>
    </w:pPr>
  </w:style>
  <w:style w:type="paragraph" w:styleId="ListDashLevel4" w:customStyle="1">
    <w:name w:val="List Dash (Level 4)"/>
    <w:basedOn w:val="Normal"/>
    <w:uiPriority w:val="1"/>
    <w:semiHidden/>
    <w:unhideWhenUsed/>
    <w:pPr>
      <w:numPr>
        <w:ilvl w:val="3"/>
        <w:numId w:val="5"/>
      </w:numPr>
    </w:pPr>
  </w:style>
  <w:style w:type="paragraph" w:styleId="ListDash1" w:customStyle="1">
    <w:name w:val="List Dash 1"/>
    <w:basedOn w:val="Text1"/>
    <w:uiPriority w:val="1"/>
    <w:pPr>
      <w:numPr>
        <w:numId w:val="4"/>
      </w:numPr>
    </w:pPr>
  </w:style>
  <w:style w:type="paragraph" w:styleId="ListDash1Level2" w:customStyle="1">
    <w:name w:val="List Dash 1 (Level 2)"/>
    <w:basedOn w:val="Text1"/>
    <w:uiPriority w:val="1"/>
    <w:pPr>
      <w:numPr>
        <w:ilvl w:val="1"/>
        <w:numId w:val="4"/>
      </w:numPr>
    </w:pPr>
  </w:style>
  <w:style w:type="paragraph" w:styleId="ListDash1Level3" w:customStyle="1">
    <w:name w:val="List Dash 1 (Level 3)"/>
    <w:basedOn w:val="Text1"/>
    <w:uiPriority w:val="1"/>
    <w:semiHidden/>
    <w:unhideWhenUsed/>
    <w:pPr>
      <w:numPr>
        <w:ilvl w:val="2"/>
        <w:numId w:val="4"/>
      </w:numPr>
    </w:pPr>
  </w:style>
  <w:style w:type="paragraph" w:styleId="ListDash1Level4" w:customStyle="1">
    <w:name w:val="List Dash 1 (Level 4)"/>
    <w:basedOn w:val="Text1"/>
    <w:uiPriority w:val="1"/>
    <w:semiHidden/>
    <w:unhideWhenUsed/>
    <w:pPr>
      <w:numPr>
        <w:ilvl w:val="3"/>
        <w:numId w:val="4"/>
      </w:numPr>
    </w:pPr>
  </w:style>
  <w:style w:type="paragraph" w:styleId="ListDash2" w:customStyle="1">
    <w:name w:val="List Dash 2"/>
    <w:basedOn w:val="Text2"/>
    <w:uiPriority w:val="1"/>
    <w:pPr>
      <w:numPr>
        <w:numId w:val="3"/>
      </w:numPr>
    </w:pPr>
  </w:style>
  <w:style w:type="paragraph" w:styleId="ListDash2Level2" w:customStyle="1">
    <w:name w:val="List Dash 2 (Level 2)"/>
    <w:basedOn w:val="Text2"/>
    <w:uiPriority w:val="1"/>
    <w:pPr>
      <w:numPr>
        <w:ilvl w:val="1"/>
        <w:numId w:val="3"/>
      </w:numPr>
    </w:pPr>
  </w:style>
  <w:style w:type="paragraph" w:styleId="ListDash2Level3" w:customStyle="1">
    <w:name w:val="List Dash 2 (Level 3)"/>
    <w:basedOn w:val="Text2"/>
    <w:uiPriority w:val="1"/>
    <w:semiHidden/>
    <w:unhideWhenUsed/>
    <w:pPr>
      <w:numPr>
        <w:ilvl w:val="2"/>
        <w:numId w:val="3"/>
      </w:numPr>
    </w:pPr>
  </w:style>
  <w:style w:type="paragraph" w:styleId="ListDash2Level4" w:customStyle="1">
    <w:name w:val="List Dash 2 (Level 4)"/>
    <w:basedOn w:val="Text2"/>
    <w:uiPriority w:val="1"/>
    <w:semiHidden/>
    <w:unhideWhenUsed/>
    <w:pPr>
      <w:numPr>
        <w:ilvl w:val="3"/>
        <w:numId w:val="3"/>
      </w:numPr>
    </w:pPr>
  </w:style>
  <w:style w:type="paragraph" w:styleId="ListDash3" w:customStyle="1">
    <w:name w:val="List Dash 3"/>
    <w:basedOn w:val="Text3"/>
    <w:uiPriority w:val="1"/>
    <w:pPr>
      <w:numPr>
        <w:numId w:val="2"/>
      </w:numPr>
    </w:pPr>
  </w:style>
  <w:style w:type="paragraph" w:styleId="ListDash3Level2" w:customStyle="1">
    <w:name w:val="List Dash 3 (Level 2)"/>
    <w:basedOn w:val="Text3"/>
    <w:uiPriority w:val="1"/>
    <w:pPr>
      <w:numPr>
        <w:ilvl w:val="1"/>
        <w:numId w:val="2"/>
      </w:numPr>
    </w:pPr>
  </w:style>
  <w:style w:type="paragraph" w:styleId="ListDash3Level3" w:customStyle="1">
    <w:name w:val="List Dash 3 (Level 3)"/>
    <w:basedOn w:val="Text3"/>
    <w:uiPriority w:val="1"/>
    <w:semiHidden/>
    <w:unhideWhenUsed/>
    <w:pPr>
      <w:numPr>
        <w:ilvl w:val="2"/>
        <w:numId w:val="2"/>
      </w:numPr>
    </w:pPr>
  </w:style>
  <w:style w:type="paragraph" w:styleId="ListDash3Level4" w:customStyle="1">
    <w:name w:val="List Dash 3 (Level 4)"/>
    <w:basedOn w:val="Text3"/>
    <w:uiPriority w:val="1"/>
    <w:semiHidden/>
    <w:unhideWhenUsed/>
    <w:pPr>
      <w:numPr>
        <w:ilvl w:val="3"/>
        <w:numId w:val="2"/>
      </w:numPr>
    </w:pPr>
  </w:style>
  <w:style w:type="paragraph" w:styleId="ListDash4" w:customStyle="1">
    <w:name w:val="List Dash 4"/>
    <w:basedOn w:val="Text4"/>
    <w:uiPriority w:val="1"/>
    <w:pPr>
      <w:numPr>
        <w:numId w:val="1"/>
      </w:numPr>
    </w:pPr>
  </w:style>
  <w:style w:type="paragraph" w:styleId="ListDash4Level2" w:customStyle="1">
    <w:name w:val="List Dash 4 (Level 2)"/>
    <w:basedOn w:val="Text4"/>
    <w:uiPriority w:val="1"/>
    <w:pPr>
      <w:numPr>
        <w:ilvl w:val="1"/>
        <w:numId w:val="1"/>
      </w:numPr>
    </w:pPr>
  </w:style>
  <w:style w:type="paragraph" w:styleId="ListDash4Level3" w:customStyle="1">
    <w:name w:val="List Dash 4 (Level 3)"/>
    <w:basedOn w:val="Text4"/>
    <w:uiPriority w:val="1"/>
    <w:semiHidden/>
    <w:unhideWhenUsed/>
    <w:pPr>
      <w:numPr>
        <w:ilvl w:val="2"/>
        <w:numId w:val="1"/>
      </w:numPr>
    </w:pPr>
  </w:style>
  <w:style w:type="paragraph" w:styleId="ListDash4Level4" w:customStyle="1">
    <w:name w:val="List Dash 4 (Level 4)"/>
    <w:basedOn w:val="Text4"/>
    <w:uiPriority w:val="1"/>
    <w:semiHidden/>
    <w:unhideWhenUsed/>
    <w:pPr>
      <w:numPr>
        <w:ilvl w:val="3"/>
        <w:numId w:val="1"/>
      </w:numPr>
    </w:pPr>
  </w:style>
  <w:style w:type="paragraph" w:styleId="ListNumber">
    <w:name w:val="List Number"/>
    <w:basedOn w:val="Normal"/>
    <w:uiPriority w:val="1"/>
    <w:pPr>
      <w:numPr>
        <w:numId w:val="10"/>
      </w:numPr>
    </w:pPr>
  </w:style>
  <w:style w:type="paragraph" w:styleId="ListNumberLevel2" w:customStyle="1">
    <w:name w:val="List Number (Level 2)"/>
    <w:basedOn w:val="Normal"/>
    <w:uiPriority w:val="1"/>
    <w:pPr>
      <w:numPr>
        <w:ilvl w:val="1"/>
        <w:numId w:val="10"/>
      </w:numPr>
    </w:pPr>
  </w:style>
  <w:style w:type="paragraph" w:styleId="ListNumberLevel3" w:customStyle="1">
    <w:name w:val="List Number (Level 3)"/>
    <w:basedOn w:val="Normal"/>
    <w:uiPriority w:val="1"/>
    <w:semiHidden/>
    <w:unhideWhenUsed/>
    <w:pPr>
      <w:numPr>
        <w:ilvl w:val="2"/>
        <w:numId w:val="10"/>
      </w:numPr>
    </w:pPr>
  </w:style>
  <w:style w:type="paragraph" w:styleId="ListNumberLevel4" w:customStyle="1">
    <w:name w:val="List Number (Level 4)"/>
    <w:basedOn w:val="Normal"/>
    <w:uiPriority w:val="1"/>
    <w:semiHidden/>
    <w:unhideWhenUsed/>
    <w:pPr>
      <w:numPr>
        <w:ilvl w:val="3"/>
        <w:numId w:val="10"/>
      </w:numPr>
    </w:pPr>
  </w:style>
  <w:style w:type="paragraph" w:styleId="ListNumber1" w:customStyle="1">
    <w:name w:val="List Number 1"/>
    <w:basedOn w:val="Text1"/>
    <w:uiPriority w:val="1"/>
    <w:pPr>
      <w:numPr>
        <w:numId w:val="9"/>
      </w:numPr>
    </w:pPr>
  </w:style>
  <w:style w:type="paragraph" w:styleId="ListNumber1Level2" w:customStyle="1">
    <w:name w:val="List Number 1 (Level 2)"/>
    <w:basedOn w:val="Text1"/>
    <w:uiPriority w:val="1"/>
    <w:pPr>
      <w:numPr>
        <w:ilvl w:val="1"/>
        <w:numId w:val="9"/>
      </w:numPr>
    </w:pPr>
  </w:style>
  <w:style w:type="paragraph" w:styleId="ListNumber1Level3" w:customStyle="1">
    <w:name w:val="List Number 1 (Level 3)"/>
    <w:basedOn w:val="Text1"/>
    <w:uiPriority w:val="1"/>
    <w:semiHidden/>
    <w:unhideWhenUsed/>
    <w:pPr>
      <w:numPr>
        <w:ilvl w:val="2"/>
        <w:numId w:val="9"/>
      </w:numPr>
    </w:pPr>
  </w:style>
  <w:style w:type="paragraph" w:styleId="ListNumber1Level4" w:customStyle="1">
    <w:name w:val="List Number 1 (Level 4)"/>
    <w:basedOn w:val="Text1"/>
    <w:uiPriority w:val="1"/>
    <w:semiHidden/>
    <w:unhideWhenUsed/>
    <w:pPr>
      <w:numPr>
        <w:ilvl w:val="3"/>
        <w:numId w:val="9"/>
      </w:numPr>
    </w:pPr>
  </w:style>
  <w:style w:type="paragraph" w:styleId="ListNumber2">
    <w:name w:val="List Number 2"/>
    <w:basedOn w:val="Text2"/>
    <w:uiPriority w:val="1"/>
    <w:pPr>
      <w:numPr>
        <w:numId w:val="8"/>
      </w:numPr>
    </w:pPr>
  </w:style>
  <w:style w:type="paragraph" w:styleId="ListNumber2Level2" w:customStyle="1">
    <w:name w:val="List Number 2 (Level 2)"/>
    <w:basedOn w:val="Text2"/>
    <w:uiPriority w:val="1"/>
    <w:pPr>
      <w:numPr>
        <w:ilvl w:val="1"/>
        <w:numId w:val="8"/>
      </w:numPr>
    </w:pPr>
  </w:style>
  <w:style w:type="paragraph" w:styleId="ListNumber2Level3" w:customStyle="1">
    <w:name w:val="List Number 2 (Level 3)"/>
    <w:basedOn w:val="Text2"/>
    <w:uiPriority w:val="1"/>
    <w:semiHidden/>
    <w:unhideWhenUsed/>
    <w:pPr>
      <w:numPr>
        <w:ilvl w:val="2"/>
        <w:numId w:val="8"/>
      </w:numPr>
    </w:pPr>
  </w:style>
  <w:style w:type="paragraph" w:styleId="ListNumber2Level4" w:customStyle="1">
    <w:name w:val="List Number 2 (Level 4)"/>
    <w:basedOn w:val="Text2"/>
    <w:uiPriority w:val="1"/>
    <w:semiHidden/>
    <w:unhideWhenUsed/>
    <w:pPr>
      <w:numPr>
        <w:ilvl w:val="3"/>
        <w:numId w:val="8"/>
      </w:numPr>
    </w:pPr>
  </w:style>
  <w:style w:type="paragraph" w:styleId="ListNumber3">
    <w:name w:val="List Number 3"/>
    <w:basedOn w:val="Text3"/>
    <w:uiPriority w:val="1"/>
    <w:pPr>
      <w:numPr>
        <w:numId w:val="7"/>
      </w:numPr>
    </w:pPr>
  </w:style>
  <w:style w:type="paragraph" w:styleId="ListNumber3Level2" w:customStyle="1">
    <w:name w:val="List Number 3 (Level 2)"/>
    <w:basedOn w:val="Text3"/>
    <w:uiPriority w:val="1"/>
    <w:pPr>
      <w:numPr>
        <w:ilvl w:val="1"/>
        <w:numId w:val="7"/>
      </w:numPr>
    </w:pPr>
  </w:style>
  <w:style w:type="paragraph" w:styleId="ListNumber3Level3" w:customStyle="1">
    <w:name w:val="List Number 3 (Level 3)"/>
    <w:basedOn w:val="Text3"/>
    <w:uiPriority w:val="1"/>
    <w:semiHidden/>
    <w:unhideWhenUsed/>
    <w:pPr>
      <w:numPr>
        <w:ilvl w:val="2"/>
        <w:numId w:val="7"/>
      </w:numPr>
    </w:pPr>
  </w:style>
  <w:style w:type="paragraph" w:styleId="ListNumber3Level4" w:customStyle="1">
    <w:name w:val="List Number 3 (Level 4)"/>
    <w:basedOn w:val="Text3"/>
    <w:uiPriority w:val="1"/>
    <w:semiHidden/>
    <w:unhideWhenUsed/>
    <w:pPr>
      <w:numPr>
        <w:ilvl w:val="3"/>
        <w:numId w:val="7"/>
      </w:numPr>
    </w:pPr>
  </w:style>
  <w:style w:type="paragraph" w:styleId="ListNumber4">
    <w:name w:val="List Number 4"/>
    <w:basedOn w:val="Text4"/>
    <w:uiPriority w:val="1"/>
    <w:pPr>
      <w:numPr>
        <w:numId w:val="6"/>
      </w:numPr>
    </w:pPr>
  </w:style>
  <w:style w:type="paragraph" w:styleId="ListNumber4Level2" w:customStyle="1">
    <w:name w:val="List Number 4 (Level 2)"/>
    <w:basedOn w:val="Text4"/>
    <w:uiPriority w:val="1"/>
    <w:pPr>
      <w:numPr>
        <w:ilvl w:val="1"/>
        <w:numId w:val="6"/>
      </w:numPr>
    </w:pPr>
  </w:style>
  <w:style w:type="paragraph" w:styleId="ListNumber4Level3" w:customStyle="1">
    <w:name w:val="List Number 4 (Level 3)"/>
    <w:basedOn w:val="Text4"/>
    <w:uiPriority w:val="1"/>
    <w:semiHidden/>
    <w:unhideWhenUsed/>
    <w:pPr>
      <w:numPr>
        <w:ilvl w:val="2"/>
        <w:numId w:val="6"/>
      </w:numPr>
    </w:pPr>
  </w:style>
  <w:style w:type="paragraph" w:styleId="ListNumber4Level4" w:customStyle="1">
    <w:name w:val="List Number 4 (Level 4)"/>
    <w:basedOn w:val="Text4"/>
    <w:uiPriority w:val="1"/>
    <w:semiHidden/>
    <w:unhideWhenUsed/>
    <w:pPr>
      <w:numPr>
        <w:ilvl w:val="3"/>
        <w:numId w:val="6"/>
      </w:numPr>
    </w:pPr>
  </w:style>
  <w:style w:type="paragraph" w:styleId="MacroText">
    <w:name w:val="macro"/>
    <w:basedOn w:val="Normal"/>
    <w:uiPriority w:val="1"/>
    <w:qFormat/>
    <w:pPr>
      <w:tabs>
        <w:tab w:val="left" w:pos="482"/>
        <w:tab w:val="left" w:pos="958"/>
        <w:tab w:val="left" w:pos="1440"/>
        <w:tab w:val="left" w:pos="1922"/>
        <w:tab w:val="left" w:pos="2398"/>
        <w:tab w:val="left" w:pos="2880"/>
        <w:tab w:val="left" w:pos="3362"/>
        <w:tab w:val="left" w:pos="3838"/>
        <w:tab w:val="left" w:pos="4320"/>
      </w:tabs>
    </w:pPr>
    <w:rPr>
      <w:rFonts w:ascii="Courier New" w:hAnsi="Courier New"/>
      <w:sz w:val="22"/>
    </w:rPr>
  </w:style>
  <w:style w:type="paragraph" w:styleId="Marking" w:customStyle="1">
    <w:name w:val="Marking"/>
    <w:basedOn w:val="Normal"/>
    <w:semiHidden/>
    <w:pPr>
      <w:ind w:left="5102" w:right="-567"/>
      <w:contextualSpacing/>
      <w:jc w:val="left"/>
    </w:pPr>
    <w:rPr>
      <w:sz w:val="28"/>
    </w:rPr>
  </w:style>
  <w:style w:type="paragraph" w:styleId="NoteAddressee" w:customStyle="1">
    <w:name w:val="NoteAddressee"/>
    <w:basedOn w:val="Normal"/>
    <w:uiPriority w:val="2"/>
    <w:pPr>
      <w:spacing w:after="720"/>
      <w:contextualSpacing/>
      <w:jc w:val="center"/>
    </w:pPr>
    <w:rPr>
      <w:b/>
      <w:smallCaps/>
    </w:rPr>
  </w:style>
  <w:style w:type="paragraph" w:styleId="NoteColumn" w:customStyle="1">
    <w:name w:val="NoteColumn"/>
    <w:basedOn w:val="Normal"/>
    <w:uiPriority w:val="2"/>
    <w:pPr>
      <w:tabs>
        <w:tab w:val="left" w:pos="850"/>
        <w:tab w:val="left" w:pos="1570"/>
        <w:tab w:val="left" w:pos="5102"/>
        <w:tab w:val="left" w:pos="5822"/>
      </w:tabs>
      <w:spacing w:after="720"/>
      <w:ind w:left="850"/>
      <w:jc w:val="left"/>
    </w:pPr>
    <w:rPr>
      <w:b/>
      <w:smallCaps/>
    </w:rPr>
  </w:style>
  <w:style w:type="paragraph" w:styleId="NoteHead" w:customStyle="1">
    <w:name w:val="NoteHead"/>
    <w:basedOn w:val="Normal"/>
    <w:uiPriority w:val="2"/>
    <w:pPr>
      <w:spacing w:before="720" w:after="720"/>
      <w:contextualSpacing/>
      <w:jc w:val="center"/>
    </w:pPr>
    <w:rPr>
      <w:b/>
      <w:smallCaps/>
    </w:rPr>
  </w:style>
  <w:style w:type="paragraph" w:styleId="NoteList" w:customStyle="1">
    <w:name w:val="NoteList"/>
    <w:basedOn w:val="Normal"/>
    <w:uiPriority w:val="2"/>
    <w:pPr>
      <w:tabs>
        <w:tab w:val="left" w:pos="5822"/>
      </w:tabs>
      <w:spacing w:before="720" w:after="720"/>
      <w:ind w:left="5102" w:hanging="3118"/>
      <w:contextualSpacing/>
      <w:jc w:val="left"/>
    </w:pPr>
    <w:rPr>
      <w:b/>
      <w:smallCaps/>
    </w:rPr>
  </w:style>
  <w:style w:type="paragraph" w:styleId="NoteTitle" w:customStyle="1">
    <w:name w:val="NoteTitle"/>
    <w:basedOn w:val="Normal"/>
    <w:uiPriority w:val="2"/>
    <w:pPr>
      <w:spacing w:before="720" w:after="360"/>
      <w:contextualSpacing/>
      <w:jc w:val="center"/>
    </w:pPr>
    <w:rPr>
      <w:b/>
      <w:smallCaps/>
    </w:rPr>
  </w:style>
  <w:style w:type="paragraph" w:styleId="NumPar1" w:customStyle="1">
    <w:name w:val="NumPar 1"/>
    <w:basedOn w:val="Heading1"/>
    <w:uiPriority w:val="1"/>
    <w:qFormat/>
    <w:pPr>
      <w:keepNext w:val="0"/>
      <w:spacing w:before="0"/>
      <w:outlineLvl w:val="9"/>
    </w:pPr>
    <w:rPr>
      <w:b w:val="0"/>
      <w:smallCaps w:val="0"/>
    </w:rPr>
  </w:style>
  <w:style w:type="paragraph" w:styleId="NumPar2" w:customStyle="1">
    <w:name w:val="NumPar 2"/>
    <w:basedOn w:val="Heading2"/>
    <w:uiPriority w:val="1"/>
    <w:qFormat/>
    <w:pPr>
      <w:keepNext w:val="0"/>
      <w:outlineLvl w:val="9"/>
    </w:pPr>
    <w:rPr>
      <w:b w:val="0"/>
    </w:rPr>
  </w:style>
  <w:style w:type="paragraph" w:styleId="NumPar3" w:customStyle="1">
    <w:name w:val="NumPar 3"/>
    <w:basedOn w:val="Heading3"/>
    <w:uiPriority w:val="1"/>
    <w:qFormat/>
    <w:pPr>
      <w:keepNext w:val="0"/>
      <w:outlineLvl w:val="9"/>
    </w:pPr>
    <w:rPr>
      <w:i w:val="0"/>
    </w:rPr>
  </w:style>
  <w:style w:type="paragraph" w:styleId="NumPar4" w:customStyle="1">
    <w:name w:val="NumPar 4"/>
    <w:basedOn w:val="Heading4"/>
    <w:uiPriority w:val="1"/>
    <w:qFormat/>
    <w:pPr>
      <w:keepNext w:val="0"/>
      <w:outlineLvl w:val="9"/>
    </w:pPr>
  </w:style>
  <w:style w:type="paragraph" w:styleId="Participants" w:customStyle="1">
    <w:name w:val="Participants"/>
    <w:basedOn w:val="Normal"/>
    <w:uiPriority w:val="2"/>
    <w:pPr>
      <w:tabs>
        <w:tab w:val="left" w:pos="2551"/>
        <w:tab w:val="left" w:pos="2835"/>
        <w:tab w:val="left" w:pos="5669"/>
        <w:tab w:val="left" w:pos="6378"/>
        <w:tab w:val="left" w:pos="6803"/>
      </w:tabs>
      <w:spacing w:before="480" w:after="0"/>
      <w:ind w:left="1531" w:hanging="1531"/>
      <w:contextualSpacing/>
      <w:jc w:val="left"/>
    </w:pPr>
  </w:style>
  <w:style w:type="paragraph" w:styleId="References" w:customStyle="1">
    <w:name w:val="References"/>
    <w:basedOn w:val="Normal"/>
    <w:uiPriority w:val="1"/>
    <w:pPr>
      <w:ind w:left="5102" w:right="-567"/>
      <w:contextualSpacing/>
      <w:jc w:val="left"/>
    </w:pPr>
    <w:rPr>
      <w:sz w:val="20"/>
    </w:rPr>
  </w:style>
  <w:style w:type="paragraph" w:styleId="Releasable" w:customStyle="1">
    <w:name w:val="Releasable"/>
    <w:basedOn w:val="Normal"/>
    <w:semiHidden/>
    <w:pPr>
      <w:spacing w:after="0"/>
      <w:jc w:val="center"/>
    </w:pPr>
    <w:rPr>
      <w:b/>
      <w:caps/>
      <w:sz w:val="32"/>
    </w:rPr>
  </w:style>
  <w:style w:type="paragraph" w:styleId="RUE" w:customStyle="1">
    <w:name w:val="RUE"/>
    <w:basedOn w:val="Normal"/>
    <w:semiHidden/>
    <w:pPr>
      <w:spacing w:after="0"/>
      <w:jc w:val="center"/>
    </w:pPr>
    <w:rPr>
      <w:b/>
      <w:caps/>
      <w:sz w:val="32"/>
      <w:bdr w:val="single" w:color="auto" w:sz="18" w:space="0"/>
    </w:rPr>
  </w:style>
  <w:style w:type="paragraph" w:styleId="SecretUE" w:customStyle="1">
    <w:name w:val="Secret UE"/>
    <w:basedOn w:val="Normal"/>
    <w:semiHidden/>
    <w:pPr>
      <w:spacing w:after="0"/>
      <w:jc w:val="center"/>
    </w:pPr>
    <w:rPr>
      <w:b/>
      <w:caps/>
      <w:color w:val="FF0000"/>
      <w:sz w:val="32"/>
      <w:bdr w:val="single" w:color="FF0000" w:sz="18" w:space="0"/>
    </w:rPr>
  </w:style>
  <w:style w:type="paragraph" w:styleId="Signature">
    <w:name w:val="Signature"/>
    <w:basedOn w:val="Normal"/>
    <w:uiPriority w:val="2"/>
    <w:pPr>
      <w:spacing w:before="1200" w:after="0"/>
      <w:ind w:left="5102"/>
      <w:jc w:val="center"/>
    </w:pPr>
  </w:style>
  <w:style w:type="paragraph" w:styleId="SignatureL" w:customStyle="1">
    <w:name w:val="SignatureL"/>
    <w:basedOn w:val="Normal"/>
    <w:uiPriority w:val="2"/>
    <w:pPr>
      <w:spacing w:before="1200" w:after="0"/>
      <w:jc w:val="left"/>
    </w:pPr>
  </w:style>
  <w:style w:type="paragraph" w:styleId="Subject" w:customStyle="1">
    <w:name w:val="Subject"/>
    <w:basedOn w:val="Normal"/>
    <w:uiPriority w:val="2"/>
    <w:pPr>
      <w:spacing w:after="480"/>
      <w:ind w:left="1191" w:hanging="1191"/>
      <w:contextualSpacing/>
      <w:jc w:val="left"/>
    </w:pPr>
    <w:rPr>
      <w:b/>
    </w:rPr>
  </w:style>
  <w:style w:type="paragraph" w:styleId="TableListBullet" w:customStyle="1">
    <w:name w:val="Table List Bullet"/>
    <w:basedOn w:val="TableText"/>
    <w:uiPriority w:val="1"/>
    <w:pPr>
      <w:numPr>
        <w:numId w:val="20"/>
      </w:numPr>
    </w:pPr>
  </w:style>
  <w:style w:type="paragraph" w:styleId="TableListBulletLevel2" w:customStyle="1">
    <w:name w:val="Table List Bullet (Level 2)"/>
    <w:basedOn w:val="TableText"/>
    <w:uiPriority w:val="1"/>
    <w:pPr>
      <w:numPr>
        <w:ilvl w:val="1"/>
        <w:numId w:val="20"/>
      </w:numPr>
    </w:pPr>
  </w:style>
  <w:style w:type="paragraph" w:styleId="TableListBulletLevel3" w:customStyle="1">
    <w:name w:val="Table List Bullet (Level 3)"/>
    <w:basedOn w:val="TableText"/>
    <w:uiPriority w:val="1"/>
    <w:semiHidden/>
    <w:unhideWhenUsed/>
    <w:pPr>
      <w:numPr>
        <w:ilvl w:val="2"/>
        <w:numId w:val="20"/>
      </w:numPr>
    </w:pPr>
  </w:style>
  <w:style w:type="paragraph" w:styleId="TableListBulletLevel4" w:customStyle="1">
    <w:name w:val="Table List Bullet (Level 4)"/>
    <w:basedOn w:val="TableText"/>
    <w:uiPriority w:val="1"/>
    <w:semiHidden/>
    <w:unhideWhenUsed/>
    <w:pPr>
      <w:numPr>
        <w:ilvl w:val="3"/>
        <w:numId w:val="20"/>
      </w:numPr>
    </w:pPr>
  </w:style>
  <w:style w:type="paragraph" w:styleId="TableListDash" w:customStyle="1">
    <w:name w:val="Table List Dash"/>
    <w:basedOn w:val="TableText"/>
    <w:uiPriority w:val="1"/>
    <w:pPr>
      <w:numPr>
        <w:numId w:val="21"/>
      </w:numPr>
    </w:pPr>
  </w:style>
  <w:style w:type="paragraph" w:styleId="TableListDashLevel2" w:customStyle="1">
    <w:name w:val="Table List Dash (Level 2)"/>
    <w:basedOn w:val="TableText"/>
    <w:uiPriority w:val="1"/>
    <w:pPr>
      <w:numPr>
        <w:ilvl w:val="1"/>
        <w:numId w:val="21"/>
      </w:numPr>
    </w:pPr>
  </w:style>
  <w:style w:type="paragraph" w:styleId="TableListDashLevel3" w:customStyle="1">
    <w:name w:val="Table List Dash (Level 3)"/>
    <w:basedOn w:val="TableText"/>
    <w:uiPriority w:val="1"/>
    <w:semiHidden/>
    <w:unhideWhenUsed/>
    <w:pPr>
      <w:numPr>
        <w:ilvl w:val="2"/>
        <w:numId w:val="21"/>
      </w:numPr>
    </w:pPr>
  </w:style>
  <w:style w:type="paragraph" w:styleId="TableListDashLevel4" w:customStyle="1">
    <w:name w:val="Table List Dash (Level 4)"/>
    <w:basedOn w:val="TableText"/>
    <w:uiPriority w:val="1"/>
    <w:semiHidden/>
    <w:unhideWhenUsed/>
    <w:pPr>
      <w:numPr>
        <w:ilvl w:val="3"/>
        <w:numId w:val="21"/>
      </w:numPr>
    </w:pPr>
  </w:style>
  <w:style w:type="paragraph" w:styleId="TableListNumber" w:customStyle="1">
    <w:name w:val="Table List Number"/>
    <w:basedOn w:val="TableText"/>
    <w:uiPriority w:val="1"/>
    <w:pPr>
      <w:numPr>
        <w:numId w:val="22"/>
      </w:numPr>
    </w:pPr>
  </w:style>
  <w:style w:type="paragraph" w:styleId="TableListNumberLevel2" w:customStyle="1">
    <w:name w:val="Table List Number (Level 2)"/>
    <w:basedOn w:val="TableText"/>
    <w:uiPriority w:val="1"/>
    <w:pPr>
      <w:numPr>
        <w:ilvl w:val="1"/>
        <w:numId w:val="22"/>
      </w:numPr>
    </w:pPr>
  </w:style>
  <w:style w:type="paragraph" w:styleId="TableListNumberLevel3" w:customStyle="1">
    <w:name w:val="Table List Number (Level 3)"/>
    <w:basedOn w:val="TableText"/>
    <w:uiPriority w:val="1"/>
    <w:semiHidden/>
    <w:unhideWhenUsed/>
    <w:pPr>
      <w:numPr>
        <w:ilvl w:val="2"/>
        <w:numId w:val="22"/>
      </w:numPr>
    </w:pPr>
  </w:style>
  <w:style w:type="paragraph" w:styleId="TableListNumberLevel4" w:customStyle="1">
    <w:name w:val="Table List Number (Level 4)"/>
    <w:basedOn w:val="TableText"/>
    <w:uiPriority w:val="1"/>
    <w:semiHidden/>
    <w:unhideWhenUsed/>
    <w:pPr>
      <w:numPr>
        <w:ilvl w:val="3"/>
        <w:numId w:val="22"/>
      </w:numPr>
    </w:pPr>
  </w:style>
  <w:style w:type="paragraph" w:styleId="TableSource" w:customStyle="1">
    <w:name w:val="Table Source"/>
    <w:basedOn w:val="Normal"/>
    <w:next w:val="Normal"/>
    <w:semiHidden/>
    <w:unhideWhenUsed/>
    <w:rPr>
      <w:sz w:val="20"/>
    </w:rPr>
  </w:style>
  <w:style w:type="paragraph" w:styleId="TableSource1" w:customStyle="1">
    <w:name w:val="Table Source 1"/>
    <w:basedOn w:val="Text1"/>
    <w:next w:val="Text1"/>
    <w:semiHidden/>
    <w:unhideWhenUsed/>
    <w:rPr>
      <w:sz w:val="20"/>
    </w:rPr>
  </w:style>
  <w:style w:type="paragraph" w:styleId="TableSource2" w:customStyle="1">
    <w:name w:val="Table Source 2"/>
    <w:basedOn w:val="Text2"/>
    <w:next w:val="Text2"/>
    <w:semiHidden/>
    <w:unhideWhenUsed/>
    <w:rPr>
      <w:sz w:val="20"/>
    </w:rPr>
  </w:style>
  <w:style w:type="paragraph" w:styleId="TableSource3" w:customStyle="1">
    <w:name w:val="Table Source 3"/>
    <w:basedOn w:val="Text3"/>
    <w:next w:val="Text3"/>
    <w:semiHidden/>
    <w:unhideWhenUsed/>
    <w:rPr>
      <w:sz w:val="20"/>
    </w:rPr>
  </w:style>
  <w:style w:type="paragraph" w:styleId="TableSource4" w:customStyle="1">
    <w:name w:val="Table Source 4"/>
    <w:basedOn w:val="Text4"/>
    <w:next w:val="Text4"/>
    <w:semiHidden/>
    <w:unhideWhenUsed/>
    <w:rPr>
      <w:sz w:val="20"/>
    </w:rPr>
  </w:style>
  <w:style w:type="paragraph" w:styleId="TableText" w:customStyle="1">
    <w:name w:val="Table Text"/>
    <w:basedOn w:val="Normal"/>
    <w:uiPriority w:val="1"/>
    <w:qFormat/>
    <w:pPr>
      <w:spacing w:before="60" w:after="60"/>
      <w:jc w:val="left"/>
    </w:pPr>
  </w:style>
  <w:style w:type="paragraph" w:styleId="TableTitle" w:customStyle="1">
    <w:name w:val="Table Title"/>
    <w:basedOn w:val="Normal"/>
    <w:uiPriority w:val="1"/>
    <w:semiHidden/>
    <w:unhideWhenUsed/>
    <w:pPr>
      <w:keepNext/>
      <w:spacing w:after="120"/>
    </w:pPr>
    <w:rPr>
      <w:b/>
      <w:i/>
    </w:rPr>
  </w:style>
  <w:style w:type="paragraph" w:styleId="TableTitle1" w:customStyle="1">
    <w:name w:val="Table Title 1"/>
    <w:basedOn w:val="Text1"/>
    <w:uiPriority w:val="1"/>
    <w:semiHidden/>
    <w:unhideWhenUsed/>
    <w:pPr>
      <w:keepNext/>
      <w:spacing w:after="120"/>
    </w:pPr>
    <w:rPr>
      <w:b/>
      <w:i/>
    </w:rPr>
  </w:style>
  <w:style w:type="paragraph" w:styleId="TableTitle2" w:customStyle="1">
    <w:name w:val="Table Title 2"/>
    <w:basedOn w:val="Text2"/>
    <w:uiPriority w:val="1"/>
    <w:semiHidden/>
    <w:unhideWhenUsed/>
    <w:pPr>
      <w:keepNext/>
      <w:spacing w:after="120"/>
    </w:pPr>
    <w:rPr>
      <w:b/>
      <w:i/>
    </w:rPr>
  </w:style>
  <w:style w:type="paragraph" w:styleId="TableTitle3" w:customStyle="1">
    <w:name w:val="Table Title 3"/>
    <w:basedOn w:val="Text3"/>
    <w:uiPriority w:val="1"/>
    <w:semiHidden/>
    <w:unhideWhenUsed/>
    <w:pPr>
      <w:keepNext/>
      <w:spacing w:after="120"/>
    </w:pPr>
    <w:rPr>
      <w:b/>
      <w:i/>
    </w:rPr>
  </w:style>
  <w:style w:type="paragraph" w:styleId="TableTitle4" w:customStyle="1">
    <w:name w:val="Table Title 4"/>
    <w:basedOn w:val="Text4"/>
    <w:uiPriority w:val="1"/>
    <w:semiHidden/>
    <w:unhideWhenUsed/>
    <w:pPr>
      <w:keepNext/>
      <w:spacing w:after="120"/>
    </w:pPr>
    <w:rPr>
      <w:b/>
      <w:i/>
    </w:rPr>
  </w:style>
  <w:style w:type="paragraph" w:styleId="Text1" w:customStyle="1">
    <w:name w:val="Text 1"/>
    <w:basedOn w:val="Normal"/>
    <w:uiPriority w:val="1"/>
    <w:qFormat/>
    <w:pPr>
      <w:ind w:left="482"/>
    </w:pPr>
  </w:style>
  <w:style w:type="paragraph" w:styleId="Text2" w:customStyle="1">
    <w:name w:val="Text 2"/>
    <w:basedOn w:val="Normal"/>
    <w:uiPriority w:val="1"/>
    <w:qFormat/>
    <w:pPr>
      <w:ind w:left="1077"/>
    </w:pPr>
  </w:style>
  <w:style w:type="paragraph" w:styleId="Text3" w:customStyle="1">
    <w:name w:val="Text 3"/>
    <w:basedOn w:val="Normal"/>
    <w:uiPriority w:val="1"/>
    <w:qFormat/>
    <w:pPr>
      <w:ind w:left="1916"/>
    </w:pPr>
  </w:style>
  <w:style w:type="paragraph" w:styleId="Text4" w:customStyle="1">
    <w:name w:val="Text 4"/>
    <w:basedOn w:val="Normal"/>
    <w:uiPriority w:val="1"/>
    <w:qFormat/>
    <w:pPr>
      <w:ind w:left="2880"/>
    </w:pPr>
  </w:style>
  <w:style w:type="paragraph" w:styleId="Title">
    <w:name w:val="Title"/>
    <w:basedOn w:val="Normal"/>
    <w:next w:val="Normal"/>
    <w:uiPriority w:val="1"/>
    <w:qFormat/>
    <w:pPr>
      <w:spacing w:after="480"/>
      <w:jc w:val="center"/>
    </w:pPr>
    <w:rPr>
      <w:b/>
      <w:kern w:val="28"/>
      <w:sz w:val="48"/>
    </w:rPr>
  </w:style>
  <w:style w:type="paragraph" w:styleId="TOC1">
    <w:name w:val="toc 1"/>
    <w:basedOn w:val="Normal"/>
    <w:next w:val="Normal"/>
    <w:semiHidden/>
    <w:pPr>
      <w:tabs>
        <w:tab w:val="right" w:leader="dot" w:pos="8640"/>
      </w:tabs>
      <w:spacing w:before="120" w:after="120"/>
      <w:ind w:left="482" w:right="720" w:hanging="482"/>
    </w:pPr>
  </w:style>
  <w:style w:type="paragraph" w:styleId="TOC2">
    <w:name w:val="toc 2"/>
    <w:basedOn w:val="Normal"/>
    <w:next w:val="Normal"/>
    <w:semiHidden/>
    <w:pPr>
      <w:tabs>
        <w:tab w:val="right" w:leader="dot" w:pos="8640"/>
      </w:tabs>
      <w:spacing w:before="60" w:after="60"/>
      <w:ind w:left="1077" w:right="720" w:hanging="595"/>
    </w:pPr>
    <w:rPr>
      <w:noProof/>
    </w:r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0"/>
      </w:tabs>
      <w:spacing w:before="60" w:after="60"/>
      <w:ind w:left="2880" w:right="720" w:hanging="964"/>
    </w:pPr>
    <w:rPr>
      <w:noProof/>
    </w:rPr>
  </w:style>
  <w:style w:type="paragraph" w:styleId="TOC5">
    <w:name w:val="toc 5"/>
    <w:basedOn w:val="Normal"/>
    <w:next w:val="Normal"/>
    <w:semiHidden/>
    <w:pPr>
      <w:tabs>
        <w:tab w:val="right" w:leader="dot" w:pos="8640"/>
      </w:tabs>
      <w:spacing w:before="240" w:after="120"/>
      <w:ind w:right="720"/>
    </w:pPr>
    <w:rPr>
      <w:caps/>
    </w:rPr>
  </w:style>
  <w:style w:type="paragraph" w:styleId="TOC6">
    <w:name w:val="toc 6"/>
    <w:basedOn w:val="Normal"/>
    <w:next w:val="Normal"/>
    <w:semiHidden/>
    <w:pPr>
      <w:tabs>
        <w:tab w:val="right" w:leader="dot" w:pos="8640"/>
        <w:tab w:val="left" w:pos="2880"/>
      </w:tabs>
      <w:spacing w:before="120" w:after="120"/>
      <w:ind w:left="1916" w:right="720" w:hanging="1916"/>
    </w:pPr>
    <w:rPr>
      <w:caps/>
    </w:rPr>
  </w:style>
  <w:style w:type="paragraph" w:styleId="TOC7">
    <w:name w:val="toc 7"/>
    <w:basedOn w:val="Normal"/>
    <w:next w:val="Normal"/>
    <w:semiHidden/>
    <w:pPr>
      <w:tabs>
        <w:tab w:val="left" w:pos="3685"/>
      </w:tabs>
      <w:spacing w:after="0"/>
      <w:ind w:left="3401" w:hanging="1417"/>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TOCHeading">
    <w:name w:val="TOC Heading"/>
    <w:basedOn w:val="Normal"/>
    <w:next w:val="Normal"/>
    <w:semiHidden/>
    <w:pPr>
      <w:spacing w:before="240"/>
      <w:jc w:val="center"/>
    </w:pPr>
    <w:rPr>
      <w:rFonts w:ascii="Times New Roman Bold" w:hAnsi="Times New Roman Bold"/>
      <w:b/>
      <w:caps/>
    </w:rPr>
  </w:style>
  <w:style w:type="paragraph" w:styleId="TrsSecretUE" w:customStyle="1">
    <w:name w:val="Très Secret UE"/>
    <w:basedOn w:val="Normal"/>
    <w:semiHidden/>
    <w:pPr>
      <w:spacing w:after="0"/>
      <w:jc w:val="center"/>
    </w:pPr>
    <w:rPr>
      <w:b/>
      <w:caps/>
      <w:color w:val="FF0000"/>
      <w:sz w:val="32"/>
      <w:bdr w:val="single" w:color="FF0000" w:sz="18" w:space="0"/>
    </w:rPr>
  </w:style>
  <w:style w:type="paragraph" w:styleId="YReferences" w:customStyle="1">
    <w:name w:val="YReferences"/>
    <w:basedOn w:val="Normal"/>
    <w:uiPriority w:val="2"/>
    <w:pPr>
      <w:spacing w:after="480"/>
      <w:ind w:left="1191" w:hanging="1191"/>
      <w:contextualSpacing/>
    </w:pPr>
  </w:style>
  <w:style w:type="paragraph" w:styleId="ZCom" w:customStyle="1">
    <w:name w:val="Z_Com"/>
    <w:basedOn w:val="Normal"/>
    <w:next w:val="Normal"/>
    <w:uiPriority w:val="2"/>
    <w:pPr>
      <w:widowControl w:val="0"/>
      <w:spacing w:before="90" w:after="0"/>
      <w:ind w:right="85"/>
      <w:jc w:val="left"/>
    </w:pPr>
  </w:style>
  <w:style w:type="paragraph" w:styleId="ZDGName" w:customStyle="1">
    <w:name w:val="Z_DGName"/>
    <w:basedOn w:val="Normal"/>
    <w:uiPriority w:val="2"/>
    <w:pPr>
      <w:widowControl w:val="0"/>
      <w:spacing w:after="0"/>
      <w:ind w:right="85"/>
      <w:jc w:val="left"/>
    </w:pPr>
    <w:rPr>
      <w:sz w:val="16"/>
    </w:rPr>
  </w:style>
  <w:style w:type="paragraph" w:styleId="ZFlag" w:customStyle="1">
    <w:name w:val="Z_Flag"/>
    <w:basedOn w:val="Normal"/>
    <w:next w:val="Normal"/>
    <w:uiPriority w:val="2"/>
    <w:pPr>
      <w:widowControl w:val="0"/>
      <w:spacing w:after="0"/>
      <w:ind w:right="85"/>
    </w:pPr>
  </w:style>
  <w:style w:type="paragraph" w:styleId="Header">
    <w:name w:val="header"/>
    <w:basedOn w:val="Normal"/>
    <w:link w:val="HeaderChar"/>
    <w:uiPriority w:val="2"/>
    <w:pPr>
      <w:tabs>
        <w:tab w:val="center" w:pos="4150"/>
        <w:tab w:val="right" w:pos="8306"/>
      </w:tabs>
      <w:spacing w:after="0"/>
    </w:pPr>
  </w:style>
  <w:style w:type="character" w:styleId="HeaderChar" w:customStyle="1">
    <w:name w:val="Header Char"/>
    <w:basedOn w:val="DefaultParagraphFont"/>
    <w:link w:val="Header"/>
    <w:uiPriority w:val="2"/>
    <w:rPr>
      <w:sz w:val="24"/>
    </w:rPr>
  </w:style>
  <w:style w:type="table" w:styleId="EurolookClassicBlue" w:customStyle="1">
    <w:name w:val="Eurolook Classic Blue"/>
    <w:basedOn w:val="TableNormal"/>
    <w:pPr>
      <w:spacing w:after="240"/>
    </w:pPr>
    <w:tblPr>
      <w:tblStyleRowBandSize w:val="1"/>
      <w:tblStyleColBandSize w:val="1"/>
      <w:tblBorders>
        <w:top w:val="single" w:color="C5C7C8" w:sz="6" w:space="0"/>
        <w:left w:val="single" w:color="C5C7C8" w:sz="6" w:space="0"/>
        <w:bottom w:val="single" w:color="C5C7C8" w:sz="6" w:space="0"/>
        <w:right w:val="single" w:color="C5C7C8" w:sz="6" w:space="0"/>
        <w:insideH w:val="single" w:color="C5C7C8" w:sz="6" w:space="0"/>
        <w:insideV w:val="single" w:color="C5C7C8" w:sz="6" w:space="0"/>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styleId="EurolookClassicBlue1" w:customStyle="1">
    <w:name w:val="Eurolook Classic Blue 1"/>
    <w:basedOn w:val="TableNormal"/>
    <w:semiHidden/>
    <w:unhideWhenUsed/>
    <w:pPr>
      <w:spacing w:after="240"/>
    </w:pPr>
    <w:tblPr>
      <w:tblStyleRowBandSize w:val="1"/>
      <w:tblStyleColBandSize w:val="1"/>
      <w:tblInd w:w="482" w:type="dxa"/>
      <w:tblBorders>
        <w:top w:val="single" w:color="C5C7C8" w:sz="6" w:space="0"/>
        <w:left w:val="single" w:color="C5C7C8" w:sz="6" w:space="0"/>
        <w:bottom w:val="single" w:color="C5C7C8" w:sz="6" w:space="0"/>
        <w:right w:val="single" w:color="C5C7C8" w:sz="6" w:space="0"/>
        <w:insideH w:val="single" w:color="C5C7C8" w:sz="6" w:space="0"/>
        <w:insideV w:val="single" w:color="C5C7C8" w:sz="6" w:space="0"/>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styleId="EurolookClassicBlue2" w:customStyle="1">
    <w:name w:val="Eurolook Classic Blue 2"/>
    <w:basedOn w:val="TableNormal"/>
    <w:semiHidden/>
    <w:unhideWhenUsed/>
    <w:pPr>
      <w:spacing w:after="240"/>
    </w:pPr>
    <w:tblPr>
      <w:tblStyleRowBandSize w:val="1"/>
      <w:tblStyleColBandSize w:val="1"/>
      <w:tblInd w:w="1077" w:type="dxa"/>
      <w:tblBorders>
        <w:top w:val="single" w:color="C5C7C8" w:sz="6" w:space="0"/>
        <w:left w:val="single" w:color="C5C7C8" w:sz="6" w:space="0"/>
        <w:bottom w:val="single" w:color="C5C7C8" w:sz="6" w:space="0"/>
        <w:right w:val="single" w:color="C5C7C8" w:sz="6" w:space="0"/>
        <w:insideH w:val="single" w:color="C5C7C8" w:sz="6" w:space="0"/>
        <w:insideV w:val="single" w:color="C5C7C8" w:sz="6" w:space="0"/>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styleId="EurolookClassicBlue3" w:customStyle="1">
    <w:name w:val="Eurolook Classic Blue 3"/>
    <w:basedOn w:val="TableNormal"/>
    <w:semiHidden/>
    <w:unhideWhenUsed/>
    <w:pPr>
      <w:spacing w:after="240"/>
    </w:pPr>
    <w:tblPr>
      <w:tblStyleRowBandSize w:val="1"/>
      <w:tblStyleColBandSize w:val="1"/>
      <w:tblInd w:w="1916" w:type="dxa"/>
      <w:tblBorders>
        <w:top w:val="single" w:color="C5C7C8" w:sz="6" w:space="0"/>
        <w:left w:val="single" w:color="C5C7C8" w:sz="6" w:space="0"/>
        <w:bottom w:val="single" w:color="C5C7C8" w:sz="6" w:space="0"/>
        <w:right w:val="single" w:color="C5C7C8" w:sz="6" w:space="0"/>
        <w:insideH w:val="single" w:color="C5C7C8" w:sz="6" w:space="0"/>
        <w:insideV w:val="single" w:color="C5C7C8" w:sz="6" w:space="0"/>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styleId="EurolookClassicBlue4" w:customStyle="1">
    <w:name w:val="Eurolook Classic Blue 4"/>
    <w:basedOn w:val="TableNormal"/>
    <w:semiHidden/>
    <w:unhideWhenUsed/>
    <w:pPr>
      <w:spacing w:after="240"/>
    </w:pPr>
    <w:tblPr>
      <w:tblStyleRowBandSize w:val="1"/>
      <w:tblStyleColBandSize w:val="1"/>
      <w:tblInd w:w="2880" w:type="dxa"/>
      <w:tblBorders>
        <w:top w:val="single" w:color="C5C7C8" w:sz="6" w:space="0"/>
        <w:left w:val="single" w:color="C5C7C8" w:sz="6" w:space="0"/>
        <w:bottom w:val="single" w:color="C5C7C8" w:sz="6" w:space="0"/>
        <w:right w:val="single" w:color="C5C7C8" w:sz="6" w:space="0"/>
        <w:insideH w:val="single" w:color="C5C7C8" w:sz="6" w:space="0"/>
        <w:insideV w:val="single" w:color="C5C7C8" w:sz="6" w:space="0"/>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styleId="EurolookClassicGrey" w:customStyle="1">
    <w:name w:val="Eurolook Classic Grey"/>
    <w:basedOn w:val="TableNormal"/>
    <w:pPr>
      <w:spacing w:after="240"/>
    </w:pPr>
    <w:tblPr>
      <w:tblStyleRowBandSize w:val="1"/>
      <w:tblStyleColBandSize w:val="1"/>
      <w:tblBorders>
        <w:top w:val="single" w:color="C5C7C8" w:sz="6" w:space="0"/>
        <w:left w:val="single" w:color="C5C7C8" w:sz="6" w:space="0"/>
        <w:bottom w:val="single" w:color="C5C7C8" w:sz="6" w:space="0"/>
        <w:right w:val="single" w:color="C5C7C8" w:sz="6" w:space="0"/>
        <w:insideH w:val="single" w:color="C5C7C8" w:sz="6" w:space="0"/>
        <w:insideV w:val="single" w:color="C5C7C8" w:sz="6" w:space="0"/>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styleId="EurolookClassicGrey1" w:customStyle="1">
    <w:name w:val="Eurolook Classic Grey 1"/>
    <w:basedOn w:val="TableNormal"/>
    <w:semiHidden/>
    <w:unhideWhenUsed/>
    <w:pPr>
      <w:spacing w:after="240"/>
    </w:pPr>
    <w:tblPr>
      <w:tblStyleRowBandSize w:val="1"/>
      <w:tblStyleColBandSize w:val="1"/>
      <w:tblInd w:w="482" w:type="dxa"/>
      <w:tblBorders>
        <w:top w:val="single" w:color="C5C7C8" w:sz="6" w:space="0"/>
        <w:left w:val="single" w:color="C5C7C8" w:sz="6" w:space="0"/>
        <w:bottom w:val="single" w:color="C5C7C8" w:sz="6" w:space="0"/>
        <w:right w:val="single" w:color="C5C7C8" w:sz="6" w:space="0"/>
        <w:insideH w:val="single" w:color="C5C7C8" w:sz="6" w:space="0"/>
        <w:insideV w:val="single" w:color="C5C7C8" w:sz="6" w:space="0"/>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styleId="EurolookClassicGrey2" w:customStyle="1">
    <w:name w:val="Eurolook Classic Grey 2"/>
    <w:basedOn w:val="TableNormal"/>
    <w:semiHidden/>
    <w:unhideWhenUsed/>
    <w:pPr>
      <w:spacing w:after="240"/>
    </w:pPr>
    <w:tblPr>
      <w:tblStyleRowBandSize w:val="1"/>
      <w:tblStyleColBandSize w:val="1"/>
      <w:tblInd w:w="1077" w:type="dxa"/>
      <w:tblBorders>
        <w:top w:val="single" w:color="C5C7C8" w:sz="6" w:space="0"/>
        <w:left w:val="single" w:color="C5C7C8" w:sz="6" w:space="0"/>
        <w:bottom w:val="single" w:color="C5C7C8" w:sz="6" w:space="0"/>
        <w:right w:val="single" w:color="C5C7C8" w:sz="6" w:space="0"/>
        <w:insideH w:val="single" w:color="C5C7C8" w:sz="6" w:space="0"/>
        <w:insideV w:val="single" w:color="C5C7C8" w:sz="6" w:space="0"/>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styleId="EurolookClassicGrey3" w:customStyle="1">
    <w:name w:val="Eurolook Classic Grey 3"/>
    <w:basedOn w:val="TableNormal"/>
    <w:semiHidden/>
    <w:unhideWhenUsed/>
    <w:pPr>
      <w:spacing w:after="240"/>
    </w:pPr>
    <w:tblPr>
      <w:tblStyleRowBandSize w:val="1"/>
      <w:tblStyleColBandSize w:val="1"/>
      <w:tblInd w:w="1916" w:type="dxa"/>
      <w:tblBorders>
        <w:top w:val="single" w:color="C5C7C8" w:sz="6" w:space="0"/>
        <w:left w:val="single" w:color="C5C7C8" w:sz="6" w:space="0"/>
        <w:bottom w:val="single" w:color="C5C7C8" w:sz="6" w:space="0"/>
        <w:right w:val="single" w:color="C5C7C8" w:sz="6" w:space="0"/>
        <w:insideH w:val="single" w:color="C5C7C8" w:sz="6" w:space="0"/>
        <w:insideV w:val="single" w:color="C5C7C8" w:sz="6" w:space="0"/>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styleId="EurolookClassicGrey4" w:customStyle="1">
    <w:name w:val="Eurolook Classic Grey 4"/>
    <w:basedOn w:val="TableNormal"/>
    <w:semiHidden/>
    <w:unhideWhenUsed/>
    <w:pPr>
      <w:spacing w:after="240"/>
    </w:pPr>
    <w:tblPr>
      <w:tblStyleRowBandSize w:val="1"/>
      <w:tblStyleColBandSize w:val="1"/>
      <w:tblInd w:w="2880" w:type="dxa"/>
      <w:tblBorders>
        <w:top w:val="single" w:color="C5C7C8" w:sz="6" w:space="0"/>
        <w:left w:val="single" w:color="C5C7C8" w:sz="6" w:space="0"/>
        <w:bottom w:val="single" w:color="C5C7C8" w:sz="6" w:space="0"/>
        <w:right w:val="single" w:color="C5C7C8" w:sz="6" w:space="0"/>
        <w:insideH w:val="single" w:color="C5C7C8" w:sz="6" w:space="0"/>
        <w:insideV w:val="single" w:color="C5C7C8" w:sz="6" w:space="0"/>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styleId="EurolookClassicOlive" w:customStyle="1">
    <w:name w:val="Eurolook Classic Olive"/>
    <w:basedOn w:val="TableNormal"/>
    <w:pPr>
      <w:spacing w:after="240"/>
    </w:pPr>
    <w:tblPr>
      <w:tblStyleRowBandSize w:val="1"/>
      <w:tblStyleColBandSize w:val="1"/>
      <w:tblBorders>
        <w:top w:val="single" w:color="C5C7C8" w:sz="6" w:space="0"/>
        <w:left w:val="single" w:color="C5C7C8" w:sz="6" w:space="0"/>
        <w:bottom w:val="single" w:color="C5C7C8" w:sz="6" w:space="0"/>
        <w:right w:val="single" w:color="C5C7C8" w:sz="6" w:space="0"/>
        <w:insideH w:val="single" w:color="C5C7C8" w:sz="6" w:space="0"/>
        <w:insideV w:val="single" w:color="C5C7C8" w:sz="6" w:space="0"/>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styleId="EurolookClassicOlive1" w:customStyle="1">
    <w:name w:val="Eurolook Classic Olive 1"/>
    <w:basedOn w:val="TableNormal"/>
    <w:semiHidden/>
    <w:unhideWhenUsed/>
    <w:pPr>
      <w:spacing w:after="240"/>
    </w:pPr>
    <w:tblPr>
      <w:tblStyleRowBandSize w:val="1"/>
      <w:tblStyleColBandSize w:val="1"/>
      <w:tblInd w:w="482" w:type="dxa"/>
      <w:tblBorders>
        <w:top w:val="single" w:color="C5C7C8" w:sz="6" w:space="0"/>
        <w:left w:val="single" w:color="C5C7C8" w:sz="6" w:space="0"/>
        <w:bottom w:val="single" w:color="C5C7C8" w:sz="6" w:space="0"/>
        <w:right w:val="single" w:color="C5C7C8" w:sz="6" w:space="0"/>
        <w:insideH w:val="single" w:color="C5C7C8" w:sz="6" w:space="0"/>
        <w:insideV w:val="single" w:color="C5C7C8" w:sz="6" w:space="0"/>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styleId="EurolookClassicOlive2" w:customStyle="1">
    <w:name w:val="Eurolook Classic Olive 2"/>
    <w:basedOn w:val="TableNormal"/>
    <w:semiHidden/>
    <w:unhideWhenUsed/>
    <w:pPr>
      <w:spacing w:after="240"/>
    </w:pPr>
    <w:tblPr>
      <w:tblStyleRowBandSize w:val="1"/>
      <w:tblStyleColBandSize w:val="1"/>
      <w:tblInd w:w="1077" w:type="dxa"/>
      <w:tblBorders>
        <w:top w:val="single" w:color="C5C7C8" w:sz="6" w:space="0"/>
        <w:left w:val="single" w:color="C5C7C8" w:sz="6" w:space="0"/>
        <w:bottom w:val="single" w:color="C5C7C8" w:sz="6" w:space="0"/>
        <w:right w:val="single" w:color="C5C7C8" w:sz="6" w:space="0"/>
        <w:insideH w:val="single" w:color="C5C7C8" w:sz="6" w:space="0"/>
        <w:insideV w:val="single" w:color="C5C7C8" w:sz="6" w:space="0"/>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styleId="EurolookClassicOlive3" w:customStyle="1">
    <w:name w:val="Eurolook Classic Olive 3"/>
    <w:basedOn w:val="TableNormal"/>
    <w:semiHidden/>
    <w:unhideWhenUsed/>
    <w:pPr>
      <w:spacing w:after="240"/>
    </w:pPr>
    <w:tblPr>
      <w:tblStyleRowBandSize w:val="1"/>
      <w:tblStyleColBandSize w:val="1"/>
      <w:tblInd w:w="1916" w:type="dxa"/>
      <w:tblBorders>
        <w:top w:val="single" w:color="C5C7C8" w:sz="6" w:space="0"/>
        <w:left w:val="single" w:color="C5C7C8" w:sz="6" w:space="0"/>
        <w:bottom w:val="single" w:color="C5C7C8" w:sz="6" w:space="0"/>
        <w:right w:val="single" w:color="C5C7C8" w:sz="6" w:space="0"/>
        <w:insideH w:val="single" w:color="C5C7C8" w:sz="6" w:space="0"/>
        <w:insideV w:val="single" w:color="C5C7C8" w:sz="6" w:space="0"/>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styleId="EurolookClassicOlive4" w:customStyle="1">
    <w:name w:val="Eurolook Classic Olive 4"/>
    <w:basedOn w:val="TableNormal"/>
    <w:semiHidden/>
    <w:unhideWhenUsed/>
    <w:pPr>
      <w:spacing w:after="240"/>
    </w:pPr>
    <w:tblPr>
      <w:tblStyleRowBandSize w:val="1"/>
      <w:tblStyleColBandSize w:val="1"/>
      <w:tblInd w:w="2880" w:type="dxa"/>
      <w:tblBorders>
        <w:top w:val="single" w:color="C5C7C8" w:sz="6" w:space="0"/>
        <w:left w:val="single" w:color="C5C7C8" w:sz="6" w:space="0"/>
        <w:bottom w:val="single" w:color="C5C7C8" w:sz="6" w:space="0"/>
        <w:right w:val="single" w:color="C5C7C8" w:sz="6" w:space="0"/>
        <w:insideH w:val="single" w:color="C5C7C8" w:sz="6" w:space="0"/>
        <w:insideV w:val="single" w:color="C5C7C8" w:sz="6" w:space="0"/>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styleId="EurolookClassicPetrol" w:customStyle="1">
    <w:name w:val="Eurolook Classic Petrol"/>
    <w:basedOn w:val="TableNormal"/>
    <w:pPr>
      <w:spacing w:after="240"/>
    </w:pPr>
    <w:tblPr>
      <w:tblStyleRowBandSize w:val="1"/>
      <w:tblStyleColBandSize w:val="1"/>
      <w:tblBorders>
        <w:top w:val="single" w:color="C5C7C8" w:sz="6" w:space="0"/>
        <w:left w:val="single" w:color="C5C7C8" w:sz="6" w:space="0"/>
        <w:bottom w:val="single" w:color="C5C7C8" w:sz="6" w:space="0"/>
        <w:right w:val="single" w:color="C5C7C8" w:sz="6" w:space="0"/>
        <w:insideH w:val="single" w:color="C5C7C8" w:sz="6" w:space="0"/>
        <w:insideV w:val="single" w:color="C5C7C8" w:sz="6" w:space="0"/>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styleId="EurolookClassicPetrol1" w:customStyle="1">
    <w:name w:val="Eurolook Classic Petrol 1"/>
    <w:basedOn w:val="TableNormal"/>
    <w:semiHidden/>
    <w:unhideWhenUsed/>
    <w:pPr>
      <w:spacing w:after="240"/>
    </w:pPr>
    <w:tblPr>
      <w:tblStyleRowBandSize w:val="1"/>
      <w:tblStyleColBandSize w:val="1"/>
      <w:tblInd w:w="482" w:type="dxa"/>
      <w:tblBorders>
        <w:top w:val="single" w:color="C5C7C8" w:sz="6" w:space="0"/>
        <w:left w:val="single" w:color="C5C7C8" w:sz="6" w:space="0"/>
        <w:bottom w:val="single" w:color="C5C7C8" w:sz="6" w:space="0"/>
        <w:right w:val="single" w:color="C5C7C8" w:sz="6" w:space="0"/>
        <w:insideH w:val="single" w:color="C5C7C8" w:sz="6" w:space="0"/>
        <w:insideV w:val="single" w:color="C5C7C8" w:sz="6" w:space="0"/>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styleId="EurolookClassicPetrol2" w:customStyle="1">
    <w:name w:val="Eurolook Classic Petrol 2"/>
    <w:basedOn w:val="TableNormal"/>
    <w:semiHidden/>
    <w:unhideWhenUsed/>
    <w:pPr>
      <w:spacing w:after="240"/>
    </w:pPr>
    <w:tblPr>
      <w:tblStyleRowBandSize w:val="1"/>
      <w:tblStyleColBandSize w:val="1"/>
      <w:tblInd w:w="1077" w:type="dxa"/>
      <w:tblBorders>
        <w:top w:val="single" w:color="C5C7C8" w:sz="6" w:space="0"/>
        <w:left w:val="single" w:color="C5C7C8" w:sz="6" w:space="0"/>
        <w:bottom w:val="single" w:color="C5C7C8" w:sz="6" w:space="0"/>
        <w:right w:val="single" w:color="C5C7C8" w:sz="6" w:space="0"/>
        <w:insideH w:val="single" w:color="C5C7C8" w:sz="6" w:space="0"/>
        <w:insideV w:val="single" w:color="C5C7C8" w:sz="6" w:space="0"/>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styleId="EurolookClassicPetrol3" w:customStyle="1">
    <w:name w:val="Eurolook Classic Petrol 3"/>
    <w:basedOn w:val="TableNormal"/>
    <w:semiHidden/>
    <w:unhideWhenUsed/>
    <w:pPr>
      <w:spacing w:after="240"/>
    </w:pPr>
    <w:tblPr>
      <w:tblStyleRowBandSize w:val="1"/>
      <w:tblStyleColBandSize w:val="1"/>
      <w:tblInd w:w="1916" w:type="dxa"/>
      <w:tblBorders>
        <w:top w:val="single" w:color="C5C7C8" w:sz="6" w:space="0"/>
        <w:left w:val="single" w:color="C5C7C8" w:sz="6" w:space="0"/>
        <w:bottom w:val="single" w:color="C5C7C8" w:sz="6" w:space="0"/>
        <w:right w:val="single" w:color="C5C7C8" w:sz="6" w:space="0"/>
        <w:insideH w:val="single" w:color="C5C7C8" w:sz="6" w:space="0"/>
        <w:insideV w:val="single" w:color="C5C7C8" w:sz="6" w:space="0"/>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styleId="EurolookClassicPetrol4" w:customStyle="1">
    <w:name w:val="Eurolook Classic Petrol 4"/>
    <w:basedOn w:val="TableNormal"/>
    <w:semiHidden/>
    <w:unhideWhenUsed/>
    <w:pPr>
      <w:spacing w:after="240"/>
    </w:pPr>
    <w:tblPr>
      <w:tblStyleRowBandSize w:val="1"/>
      <w:tblStyleColBandSize w:val="1"/>
      <w:tblInd w:w="2880" w:type="dxa"/>
      <w:tblBorders>
        <w:top w:val="single" w:color="C5C7C8" w:sz="6" w:space="0"/>
        <w:left w:val="single" w:color="C5C7C8" w:sz="6" w:space="0"/>
        <w:bottom w:val="single" w:color="C5C7C8" w:sz="6" w:space="0"/>
        <w:right w:val="single" w:color="C5C7C8" w:sz="6" w:space="0"/>
        <w:insideH w:val="single" w:color="C5C7C8" w:sz="6" w:space="0"/>
        <w:insideV w:val="single" w:color="C5C7C8" w:sz="6" w:space="0"/>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styleId="EurolookClassicPurple" w:customStyle="1">
    <w:name w:val="Eurolook Classic Purple"/>
    <w:basedOn w:val="TableNormal"/>
    <w:pPr>
      <w:spacing w:after="240"/>
    </w:pPr>
    <w:tblPr>
      <w:tblStyleRowBandSize w:val="1"/>
      <w:tblStyleColBandSize w:val="1"/>
      <w:tblBorders>
        <w:top w:val="single" w:color="C5C7C8" w:sz="6" w:space="0"/>
        <w:left w:val="single" w:color="C5C7C8" w:sz="6" w:space="0"/>
        <w:bottom w:val="single" w:color="C5C7C8" w:sz="6" w:space="0"/>
        <w:right w:val="single" w:color="C5C7C8" w:sz="6" w:space="0"/>
        <w:insideH w:val="single" w:color="C5C7C8" w:sz="6" w:space="0"/>
        <w:insideV w:val="single" w:color="C5C7C8" w:sz="6" w:space="0"/>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styleId="EurolookClassicPurple1" w:customStyle="1">
    <w:name w:val="Eurolook Classic Purple 1"/>
    <w:basedOn w:val="TableNormal"/>
    <w:semiHidden/>
    <w:unhideWhenUsed/>
    <w:pPr>
      <w:spacing w:after="240"/>
    </w:pPr>
    <w:tblPr>
      <w:tblStyleRowBandSize w:val="1"/>
      <w:tblStyleColBandSize w:val="1"/>
      <w:tblInd w:w="482" w:type="dxa"/>
      <w:tblBorders>
        <w:top w:val="single" w:color="C5C7C8" w:sz="6" w:space="0"/>
        <w:left w:val="single" w:color="C5C7C8" w:sz="6" w:space="0"/>
        <w:bottom w:val="single" w:color="C5C7C8" w:sz="6" w:space="0"/>
        <w:right w:val="single" w:color="C5C7C8" w:sz="6" w:space="0"/>
        <w:insideH w:val="single" w:color="C5C7C8" w:sz="6" w:space="0"/>
        <w:insideV w:val="single" w:color="C5C7C8" w:sz="6" w:space="0"/>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styleId="EurolookClassicPurple2" w:customStyle="1">
    <w:name w:val="Eurolook Classic Purple 2"/>
    <w:basedOn w:val="TableNormal"/>
    <w:semiHidden/>
    <w:unhideWhenUsed/>
    <w:pPr>
      <w:spacing w:after="240"/>
    </w:pPr>
    <w:tblPr>
      <w:tblStyleRowBandSize w:val="1"/>
      <w:tblStyleColBandSize w:val="1"/>
      <w:tblInd w:w="1077" w:type="dxa"/>
      <w:tblBorders>
        <w:top w:val="single" w:color="C5C7C8" w:sz="6" w:space="0"/>
        <w:left w:val="single" w:color="C5C7C8" w:sz="6" w:space="0"/>
        <w:bottom w:val="single" w:color="C5C7C8" w:sz="6" w:space="0"/>
        <w:right w:val="single" w:color="C5C7C8" w:sz="6" w:space="0"/>
        <w:insideH w:val="single" w:color="C5C7C8" w:sz="6" w:space="0"/>
        <w:insideV w:val="single" w:color="C5C7C8" w:sz="6" w:space="0"/>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styleId="EurolookClassicPurple3" w:customStyle="1">
    <w:name w:val="Eurolook Classic Purple 3"/>
    <w:basedOn w:val="TableNormal"/>
    <w:semiHidden/>
    <w:unhideWhenUsed/>
    <w:pPr>
      <w:spacing w:after="240"/>
    </w:pPr>
    <w:tblPr>
      <w:tblStyleRowBandSize w:val="1"/>
      <w:tblStyleColBandSize w:val="1"/>
      <w:tblInd w:w="1916" w:type="dxa"/>
      <w:tblBorders>
        <w:top w:val="single" w:color="C5C7C8" w:sz="6" w:space="0"/>
        <w:left w:val="single" w:color="C5C7C8" w:sz="6" w:space="0"/>
        <w:bottom w:val="single" w:color="C5C7C8" w:sz="6" w:space="0"/>
        <w:right w:val="single" w:color="C5C7C8" w:sz="6" w:space="0"/>
        <w:insideH w:val="single" w:color="C5C7C8" w:sz="6" w:space="0"/>
        <w:insideV w:val="single" w:color="C5C7C8" w:sz="6" w:space="0"/>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styleId="EurolookClassicPurple4" w:customStyle="1">
    <w:name w:val="Eurolook Classic Purple 4"/>
    <w:basedOn w:val="TableNormal"/>
    <w:semiHidden/>
    <w:unhideWhenUsed/>
    <w:pPr>
      <w:spacing w:after="240"/>
    </w:pPr>
    <w:tblPr>
      <w:tblStyleRowBandSize w:val="1"/>
      <w:tblStyleColBandSize w:val="1"/>
      <w:tblInd w:w="2880" w:type="dxa"/>
      <w:tblBorders>
        <w:top w:val="single" w:color="C5C7C8" w:sz="6" w:space="0"/>
        <w:left w:val="single" w:color="C5C7C8" w:sz="6" w:space="0"/>
        <w:bottom w:val="single" w:color="C5C7C8" w:sz="6" w:space="0"/>
        <w:right w:val="single" w:color="C5C7C8" w:sz="6" w:space="0"/>
        <w:insideH w:val="single" w:color="C5C7C8" w:sz="6" w:space="0"/>
        <w:insideV w:val="single" w:color="C5C7C8" w:sz="6" w:space="0"/>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styleId="EurolookClassicRust" w:customStyle="1">
    <w:name w:val="Eurolook Classic Rust"/>
    <w:basedOn w:val="TableNormal"/>
    <w:pPr>
      <w:spacing w:after="240"/>
    </w:pPr>
    <w:tblPr>
      <w:tblStyleRowBandSize w:val="1"/>
      <w:tblStyleColBandSize w:val="1"/>
      <w:tblBorders>
        <w:top w:val="single" w:color="C5C7C8" w:sz="6" w:space="0"/>
        <w:left w:val="single" w:color="C5C7C8" w:sz="6" w:space="0"/>
        <w:bottom w:val="single" w:color="C5C7C8" w:sz="6" w:space="0"/>
        <w:right w:val="single" w:color="C5C7C8" w:sz="6" w:space="0"/>
        <w:insideH w:val="single" w:color="C5C7C8" w:sz="6" w:space="0"/>
        <w:insideV w:val="single" w:color="C5C7C8" w:sz="6" w:space="0"/>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styleId="EurolookClassicRust1" w:customStyle="1">
    <w:name w:val="Eurolook Classic Rust 1"/>
    <w:basedOn w:val="TableNormal"/>
    <w:semiHidden/>
    <w:unhideWhenUsed/>
    <w:pPr>
      <w:spacing w:after="240"/>
    </w:pPr>
    <w:tblPr>
      <w:tblStyleRowBandSize w:val="1"/>
      <w:tblStyleColBandSize w:val="1"/>
      <w:tblInd w:w="482" w:type="dxa"/>
      <w:tblBorders>
        <w:top w:val="single" w:color="C5C7C8" w:sz="6" w:space="0"/>
        <w:left w:val="single" w:color="C5C7C8" w:sz="6" w:space="0"/>
        <w:bottom w:val="single" w:color="C5C7C8" w:sz="6" w:space="0"/>
        <w:right w:val="single" w:color="C5C7C8" w:sz="6" w:space="0"/>
        <w:insideH w:val="single" w:color="C5C7C8" w:sz="6" w:space="0"/>
        <w:insideV w:val="single" w:color="C5C7C8" w:sz="6" w:space="0"/>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styleId="EurolookClassicRust2" w:customStyle="1">
    <w:name w:val="Eurolook Classic Rust 2"/>
    <w:basedOn w:val="TableNormal"/>
    <w:semiHidden/>
    <w:unhideWhenUsed/>
    <w:pPr>
      <w:spacing w:after="240"/>
    </w:pPr>
    <w:tblPr>
      <w:tblStyleRowBandSize w:val="1"/>
      <w:tblStyleColBandSize w:val="1"/>
      <w:tblInd w:w="1077" w:type="dxa"/>
      <w:tblBorders>
        <w:top w:val="single" w:color="C5C7C8" w:sz="6" w:space="0"/>
        <w:left w:val="single" w:color="C5C7C8" w:sz="6" w:space="0"/>
        <w:bottom w:val="single" w:color="C5C7C8" w:sz="6" w:space="0"/>
        <w:right w:val="single" w:color="C5C7C8" w:sz="6" w:space="0"/>
        <w:insideH w:val="single" w:color="C5C7C8" w:sz="6" w:space="0"/>
        <w:insideV w:val="single" w:color="C5C7C8" w:sz="6" w:space="0"/>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styleId="EurolookClassicRust3" w:customStyle="1">
    <w:name w:val="Eurolook Classic Rust 3"/>
    <w:basedOn w:val="TableNormal"/>
    <w:semiHidden/>
    <w:unhideWhenUsed/>
    <w:pPr>
      <w:spacing w:after="240"/>
    </w:pPr>
    <w:tblPr>
      <w:tblStyleRowBandSize w:val="1"/>
      <w:tblStyleColBandSize w:val="1"/>
      <w:tblInd w:w="1916" w:type="dxa"/>
      <w:tblBorders>
        <w:top w:val="single" w:color="C5C7C8" w:sz="6" w:space="0"/>
        <w:left w:val="single" w:color="C5C7C8" w:sz="6" w:space="0"/>
        <w:bottom w:val="single" w:color="C5C7C8" w:sz="6" w:space="0"/>
        <w:right w:val="single" w:color="C5C7C8" w:sz="6" w:space="0"/>
        <w:insideH w:val="single" w:color="C5C7C8" w:sz="6" w:space="0"/>
        <w:insideV w:val="single" w:color="C5C7C8" w:sz="6" w:space="0"/>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styleId="EurolookClassicRust4" w:customStyle="1">
    <w:name w:val="Eurolook Classic Rust 4"/>
    <w:basedOn w:val="TableNormal"/>
    <w:semiHidden/>
    <w:unhideWhenUsed/>
    <w:pPr>
      <w:spacing w:after="240"/>
    </w:pPr>
    <w:tblPr>
      <w:tblStyleRowBandSize w:val="1"/>
      <w:tblStyleColBandSize w:val="1"/>
      <w:tblInd w:w="2880" w:type="dxa"/>
      <w:tblBorders>
        <w:top w:val="single" w:color="C5C7C8" w:sz="6" w:space="0"/>
        <w:left w:val="single" w:color="C5C7C8" w:sz="6" w:space="0"/>
        <w:bottom w:val="single" w:color="C5C7C8" w:sz="6" w:space="0"/>
        <w:right w:val="single" w:color="C5C7C8" w:sz="6" w:space="0"/>
        <w:insideH w:val="single" w:color="C5C7C8" w:sz="6" w:space="0"/>
        <w:insideV w:val="single" w:color="C5C7C8" w:sz="6" w:space="0"/>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styleId="EurolookLightBlue" w:customStyle="1">
    <w:name w:val="Eurolook Light Blue"/>
    <w:basedOn w:val="TableNormal"/>
    <w:pPr>
      <w:spacing w:after="240"/>
    </w:pPr>
    <w:tblPr>
      <w:tblStyleRowBandSize w:val="1"/>
      <w:tblStyleColBandSize w:val="1"/>
      <w:tblBorders>
        <w:top w:val="nil"/>
        <w:left w:val="nil"/>
        <w:bottom w:val="nil"/>
        <w:right w:val="nil"/>
        <w:insideH w:val="single" w:color="C5C7C8" w:sz="6" w:space="0"/>
        <w:insideV w:val="single" w:color="C5C7C8" w:sz="6" w:space="0"/>
      </w:tblBorders>
    </w:tblPr>
    <w:tcPr>
      <w:shd w:val="clear" w:color="auto" w:fill="auto"/>
    </w:tcPr>
    <w:tblStylePr w:type="firstRow">
      <w:rPr>
        <w:b w:val="0"/>
        <w:smallCaps/>
        <w:color w:val="004494"/>
      </w:rPr>
      <w:tblPr/>
      <w:tcPr>
        <w:tcBorders>
          <w:bottom w:val="single" w:color="404040" w:themeColor="text1" w:themeTint="BF" w:sz="12" w:space="0"/>
        </w:tcBorders>
        <w:shd w:val="clear" w:color="auto" w:fill="auto"/>
        <w:vAlign w:val="bottom"/>
      </w:tcPr>
    </w:tblStylePr>
    <w:tblStylePr w:type="lastRow">
      <w:rPr>
        <w:b w:val="0"/>
      </w:rPr>
      <w:tblPr/>
      <w:tcPr>
        <w:tcBorders>
          <w:top w:val="single" w:color="404040" w:themeColor="text1" w:themeTint="BF" w:sz="12" w:space="0"/>
        </w:tcBorders>
        <w:shd w:val="clear" w:color="auto" w:fill="auto"/>
      </w:tcPr>
    </w:tblStylePr>
    <w:tblStylePr w:type="firstCol">
      <w:rPr>
        <w:b w:val="0"/>
        <w:color w:val="000000"/>
      </w:rPr>
      <w:tblPr/>
      <w:tcPr>
        <w:tcBorders>
          <w:right w:val="single" w:color="404040" w:themeColor="text1" w:themeTint="BF" w:sz="12" w:space="0"/>
        </w:tcBorders>
      </w:tcPr>
    </w:tblStylePr>
    <w:tblStylePr w:type="band1Horz">
      <w:tblPr/>
      <w:tcPr>
        <w:shd w:val="clear" w:color="auto" w:fill="auto"/>
      </w:tcPr>
    </w:tblStylePr>
    <w:tblStylePr w:type="band2Horz">
      <w:tblPr/>
      <w:tcPr>
        <w:shd w:val="clear" w:color="FFFFFF" w:themeColor="background1" w:fill="F2F2F2"/>
      </w:tcPr>
    </w:tblStylePr>
  </w:style>
  <w:style w:type="table" w:styleId="EurolookLightBlue1" w:customStyle="1">
    <w:name w:val="Eurolook Light Blue 1"/>
    <w:basedOn w:val="TableNormal"/>
    <w:semiHidden/>
    <w:unhideWhenUsed/>
    <w:pPr>
      <w:spacing w:after="240"/>
    </w:pPr>
    <w:tblPr>
      <w:tblStyleRowBandSize w:val="1"/>
      <w:tblStyleColBandSize w:val="1"/>
      <w:tblInd w:w="482" w:type="dxa"/>
      <w:tblBorders>
        <w:top w:val="nil"/>
        <w:left w:val="nil"/>
        <w:bottom w:val="nil"/>
        <w:right w:val="nil"/>
        <w:insideH w:val="single" w:color="C5C7C8" w:sz="6" w:space="0"/>
        <w:insideV w:val="single" w:color="C5C7C8" w:sz="6" w:space="0"/>
      </w:tblBorders>
    </w:tblPr>
    <w:tcPr>
      <w:shd w:val="clear" w:color="auto" w:fill="auto"/>
    </w:tcPr>
    <w:tblStylePr w:type="firstRow">
      <w:rPr>
        <w:b w:val="0"/>
        <w:smallCaps/>
        <w:color w:val="004494"/>
      </w:rPr>
      <w:tblPr/>
      <w:tcPr>
        <w:tcBorders>
          <w:bottom w:val="single" w:color="404040" w:themeColor="text1" w:themeTint="BF" w:sz="12" w:space="0"/>
        </w:tcBorders>
        <w:shd w:val="clear" w:color="auto" w:fill="auto"/>
        <w:vAlign w:val="bottom"/>
      </w:tcPr>
    </w:tblStylePr>
    <w:tblStylePr w:type="lastRow">
      <w:rPr>
        <w:b w:val="0"/>
      </w:rPr>
      <w:tblPr/>
      <w:tcPr>
        <w:tcBorders>
          <w:top w:val="single" w:color="404040" w:themeColor="text1" w:themeTint="BF" w:sz="12" w:space="0"/>
        </w:tcBorders>
        <w:shd w:val="clear" w:color="auto" w:fill="auto"/>
      </w:tcPr>
    </w:tblStylePr>
    <w:tblStylePr w:type="firstCol">
      <w:rPr>
        <w:b w:val="0"/>
        <w:color w:val="000000"/>
      </w:rPr>
      <w:tblPr/>
      <w:tcPr>
        <w:tcBorders>
          <w:right w:val="single" w:color="404040" w:themeColor="text1" w:themeTint="BF" w:sz="12" w:space="0"/>
        </w:tcBorders>
      </w:tcPr>
    </w:tblStylePr>
    <w:tblStylePr w:type="band1Horz">
      <w:tblPr/>
      <w:tcPr>
        <w:shd w:val="clear" w:color="auto" w:fill="auto"/>
      </w:tcPr>
    </w:tblStylePr>
    <w:tblStylePr w:type="band2Horz">
      <w:tblPr/>
      <w:tcPr>
        <w:shd w:val="clear" w:color="FFFFFF" w:themeColor="background1" w:fill="F2F2F2"/>
      </w:tcPr>
    </w:tblStylePr>
  </w:style>
  <w:style w:type="table" w:styleId="EurolookLightBlue2" w:customStyle="1">
    <w:name w:val="Eurolook Light Blue 2"/>
    <w:basedOn w:val="TableNormal"/>
    <w:semiHidden/>
    <w:unhideWhenUsed/>
    <w:pPr>
      <w:spacing w:after="240"/>
    </w:pPr>
    <w:tblPr>
      <w:tblStyleRowBandSize w:val="1"/>
      <w:tblStyleColBandSize w:val="1"/>
      <w:tblInd w:w="1077" w:type="dxa"/>
      <w:tblBorders>
        <w:top w:val="nil"/>
        <w:left w:val="nil"/>
        <w:bottom w:val="nil"/>
        <w:right w:val="nil"/>
        <w:insideH w:val="single" w:color="C5C7C8" w:sz="6" w:space="0"/>
        <w:insideV w:val="single" w:color="C5C7C8" w:sz="6" w:space="0"/>
      </w:tblBorders>
    </w:tblPr>
    <w:tcPr>
      <w:shd w:val="clear" w:color="auto" w:fill="auto"/>
    </w:tcPr>
    <w:tblStylePr w:type="firstRow">
      <w:rPr>
        <w:b w:val="0"/>
        <w:smallCaps/>
        <w:color w:val="004494"/>
      </w:rPr>
      <w:tblPr/>
      <w:tcPr>
        <w:tcBorders>
          <w:bottom w:val="single" w:color="404040" w:themeColor="text1" w:themeTint="BF" w:sz="12" w:space="0"/>
        </w:tcBorders>
        <w:shd w:val="clear" w:color="auto" w:fill="auto"/>
        <w:vAlign w:val="bottom"/>
      </w:tcPr>
    </w:tblStylePr>
    <w:tblStylePr w:type="lastRow">
      <w:rPr>
        <w:b w:val="0"/>
      </w:rPr>
      <w:tblPr/>
      <w:tcPr>
        <w:tcBorders>
          <w:top w:val="single" w:color="404040" w:themeColor="text1" w:themeTint="BF" w:sz="12" w:space="0"/>
        </w:tcBorders>
        <w:shd w:val="clear" w:color="auto" w:fill="auto"/>
      </w:tcPr>
    </w:tblStylePr>
    <w:tblStylePr w:type="firstCol">
      <w:rPr>
        <w:b w:val="0"/>
        <w:color w:val="000000"/>
      </w:rPr>
      <w:tblPr/>
      <w:tcPr>
        <w:tcBorders>
          <w:right w:val="single" w:color="404040" w:themeColor="text1" w:themeTint="BF" w:sz="12" w:space="0"/>
        </w:tcBorders>
      </w:tcPr>
    </w:tblStylePr>
    <w:tblStylePr w:type="band1Horz">
      <w:tblPr/>
      <w:tcPr>
        <w:shd w:val="clear" w:color="auto" w:fill="auto"/>
      </w:tcPr>
    </w:tblStylePr>
    <w:tblStylePr w:type="band2Horz">
      <w:tblPr/>
      <w:tcPr>
        <w:shd w:val="clear" w:color="FFFFFF" w:themeColor="background1" w:fill="F2F2F2"/>
      </w:tcPr>
    </w:tblStylePr>
  </w:style>
  <w:style w:type="table" w:styleId="EurolookLightBlue3" w:customStyle="1">
    <w:name w:val="Eurolook Light Blue 3"/>
    <w:basedOn w:val="TableNormal"/>
    <w:semiHidden/>
    <w:unhideWhenUsed/>
    <w:pPr>
      <w:spacing w:after="240"/>
    </w:pPr>
    <w:tblPr>
      <w:tblStyleRowBandSize w:val="1"/>
      <w:tblStyleColBandSize w:val="1"/>
      <w:tblInd w:w="1916" w:type="dxa"/>
      <w:tblBorders>
        <w:top w:val="nil"/>
        <w:left w:val="nil"/>
        <w:bottom w:val="nil"/>
        <w:right w:val="nil"/>
        <w:insideH w:val="single" w:color="C5C7C8" w:sz="6" w:space="0"/>
        <w:insideV w:val="single" w:color="C5C7C8" w:sz="6" w:space="0"/>
      </w:tblBorders>
    </w:tblPr>
    <w:tcPr>
      <w:shd w:val="clear" w:color="auto" w:fill="auto"/>
    </w:tcPr>
    <w:tblStylePr w:type="firstRow">
      <w:rPr>
        <w:b w:val="0"/>
        <w:smallCaps/>
        <w:color w:val="004494"/>
      </w:rPr>
      <w:tblPr/>
      <w:tcPr>
        <w:tcBorders>
          <w:bottom w:val="single" w:color="404040" w:themeColor="text1" w:themeTint="BF" w:sz="12" w:space="0"/>
        </w:tcBorders>
        <w:shd w:val="clear" w:color="auto" w:fill="auto"/>
        <w:vAlign w:val="bottom"/>
      </w:tcPr>
    </w:tblStylePr>
    <w:tblStylePr w:type="lastRow">
      <w:rPr>
        <w:b w:val="0"/>
      </w:rPr>
      <w:tblPr/>
      <w:tcPr>
        <w:tcBorders>
          <w:top w:val="single" w:color="404040" w:themeColor="text1" w:themeTint="BF" w:sz="12" w:space="0"/>
        </w:tcBorders>
        <w:shd w:val="clear" w:color="auto" w:fill="auto"/>
      </w:tcPr>
    </w:tblStylePr>
    <w:tblStylePr w:type="firstCol">
      <w:rPr>
        <w:b w:val="0"/>
        <w:color w:val="000000"/>
      </w:rPr>
      <w:tblPr/>
      <w:tcPr>
        <w:tcBorders>
          <w:right w:val="single" w:color="404040" w:themeColor="text1" w:themeTint="BF" w:sz="12" w:space="0"/>
        </w:tcBorders>
      </w:tcPr>
    </w:tblStylePr>
    <w:tblStylePr w:type="band1Horz">
      <w:tblPr/>
      <w:tcPr>
        <w:shd w:val="clear" w:color="auto" w:fill="auto"/>
      </w:tcPr>
    </w:tblStylePr>
    <w:tblStylePr w:type="band2Horz">
      <w:tblPr/>
      <w:tcPr>
        <w:shd w:val="clear" w:color="FFFFFF" w:themeColor="background1" w:fill="F2F2F2"/>
      </w:tcPr>
    </w:tblStylePr>
  </w:style>
  <w:style w:type="table" w:styleId="EurolookLightBlue4" w:customStyle="1">
    <w:name w:val="Eurolook Light Blue 4"/>
    <w:basedOn w:val="TableNormal"/>
    <w:semiHidden/>
    <w:unhideWhenUsed/>
    <w:pPr>
      <w:spacing w:after="240"/>
    </w:pPr>
    <w:tblPr>
      <w:tblStyleRowBandSize w:val="1"/>
      <w:tblStyleColBandSize w:val="1"/>
      <w:tblInd w:w="2880" w:type="dxa"/>
      <w:tblBorders>
        <w:top w:val="nil"/>
        <w:left w:val="nil"/>
        <w:bottom w:val="nil"/>
        <w:right w:val="nil"/>
        <w:insideH w:val="single" w:color="C5C7C8" w:sz="6" w:space="0"/>
        <w:insideV w:val="single" w:color="C5C7C8" w:sz="6" w:space="0"/>
      </w:tblBorders>
    </w:tblPr>
    <w:tcPr>
      <w:shd w:val="clear" w:color="auto" w:fill="auto"/>
    </w:tcPr>
    <w:tblStylePr w:type="firstRow">
      <w:rPr>
        <w:b w:val="0"/>
        <w:smallCaps/>
        <w:color w:val="004494"/>
      </w:rPr>
      <w:tblPr/>
      <w:tcPr>
        <w:tcBorders>
          <w:bottom w:val="single" w:color="404040" w:themeColor="text1" w:themeTint="BF" w:sz="12" w:space="0"/>
        </w:tcBorders>
        <w:shd w:val="clear" w:color="auto" w:fill="auto"/>
        <w:vAlign w:val="bottom"/>
      </w:tcPr>
    </w:tblStylePr>
    <w:tblStylePr w:type="lastRow">
      <w:rPr>
        <w:b w:val="0"/>
      </w:rPr>
      <w:tblPr/>
      <w:tcPr>
        <w:tcBorders>
          <w:top w:val="single" w:color="404040" w:themeColor="text1" w:themeTint="BF" w:sz="12" w:space="0"/>
        </w:tcBorders>
        <w:shd w:val="clear" w:color="auto" w:fill="auto"/>
      </w:tcPr>
    </w:tblStylePr>
    <w:tblStylePr w:type="firstCol">
      <w:rPr>
        <w:b w:val="0"/>
        <w:color w:val="000000"/>
      </w:rPr>
      <w:tblPr/>
      <w:tcPr>
        <w:tcBorders>
          <w:right w:val="single" w:color="404040" w:themeColor="text1" w:themeTint="BF" w:sz="12" w:space="0"/>
        </w:tcBorders>
      </w:tcPr>
    </w:tblStylePr>
    <w:tblStylePr w:type="band1Horz">
      <w:tblPr/>
      <w:tcPr>
        <w:shd w:val="clear" w:color="auto" w:fill="auto"/>
      </w:tcPr>
    </w:tblStylePr>
    <w:tblStylePr w:type="band2Horz">
      <w:tblPr/>
      <w:tcPr>
        <w:shd w:val="clear" w:color="FFFFFF" w:themeColor="background1" w:fill="F2F2F2"/>
      </w:tcPr>
    </w:tblStylePr>
  </w:style>
  <w:style w:type="table" w:styleId="EurolookLightGrey" w:customStyle="1">
    <w:name w:val="Eurolook Light Grey"/>
    <w:basedOn w:val="TableNormal"/>
    <w:pPr>
      <w:spacing w:after="240"/>
    </w:pPr>
    <w:tblPr>
      <w:tblStyleRowBandSize w:val="1"/>
      <w:tblStyleColBandSize w:val="1"/>
      <w:tblBorders>
        <w:top w:val="nil"/>
        <w:left w:val="nil"/>
        <w:bottom w:val="nil"/>
        <w:right w:val="nil"/>
        <w:insideH w:val="single" w:color="C5C7C8" w:sz="6" w:space="0"/>
        <w:insideV w:val="single" w:color="C5C7C8" w:sz="6" w:space="0"/>
      </w:tblBorders>
    </w:tblPr>
    <w:tcPr>
      <w:shd w:val="clear" w:color="auto" w:fill="auto"/>
    </w:tcPr>
    <w:tblStylePr w:type="firstRow">
      <w:rPr>
        <w:b w:val="0"/>
        <w:smallCaps/>
        <w:color w:val="646567"/>
      </w:rPr>
      <w:tblPr/>
      <w:tcPr>
        <w:tcBorders>
          <w:bottom w:val="single" w:color="404040" w:themeColor="text1" w:themeTint="BF" w:sz="12" w:space="0"/>
        </w:tcBorders>
        <w:shd w:val="clear" w:color="auto" w:fill="auto"/>
        <w:vAlign w:val="bottom"/>
      </w:tcPr>
    </w:tblStylePr>
    <w:tblStylePr w:type="lastRow">
      <w:rPr>
        <w:b w:val="0"/>
      </w:rPr>
      <w:tblPr/>
      <w:tcPr>
        <w:tcBorders>
          <w:top w:val="single" w:color="404040" w:themeColor="text1" w:themeTint="BF" w:sz="12" w:space="0"/>
        </w:tcBorders>
        <w:shd w:val="clear" w:color="auto" w:fill="auto"/>
      </w:tcPr>
    </w:tblStylePr>
    <w:tblStylePr w:type="firstCol">
      <w:rPr>
        <w:color w:val="000000"/>
      </w:rPr>
      <w:tblPr/>
      <w:tcPr>
        <w:tcBorders>
          <w:right w:val="single" w:color="404040" w:themeColor="text1" w:themeTint="BF" w:sz="12" w:space="0"/>
        </w:tcBorders>
      </w:tcPr>
    </w:tblStylePr>
    <w:tblStylePr w:type="band1Horz">
      <w:tblPr/>
      <w:tcPr>
        <w:shd w:val="clear" w:color="auto" w:fill="auto"/>
      </w:tcPr>
    </w:tblStylePr>
    <w:tblStylePr w:type="band2Horz">
      <w:tblPr/>
      <w:tcPr>
        <w:shd w:val="clear" w:color="FFFFFF" w:themeColor="background1" w:fill="F2F2F2"/>
      </w:tcPr>
    </w:tblStylePr>
  </w:style>
  <w:style w:type="table" w:styleId="EurolookLightGrey1" w:customStyle="1">
    <w:name w:val="Eurolook Light Grey 1"/>
    <w:basedOn w:val="TableNormal"/>
    <w:semiHidden/>
    <w:unhideWhenUsed/>
    <w:pPr>
      <w:spacing w:after="240"/>
    </w:pPr>
    <w:tblPr>
      <w:tblStyleRowBandSize w:val="1"/>
      <w:tblStyleColBandSize w:val="1"/>
      <w:tblInd w:w="482" w:type="dxa"/>
      <w:tblBorders>
        <w:top w:val="nil"/>
        <w:left w:val="nil"/>
        <w:bottom w:val="nil"/>
        <w:right w:val="nil"/>
        <w:insideH w:val="single" w:color="C5C7C8" w:sz="6" w:space="0"/>
        <w:insideV w:val="single" w:color="C5C7C8" w:sz="6" w:space="0"/>
      </w:tblBorders>
    </w:tblPr>
    <w:tcPr>
      <w:shd w:val="clear" w:color="auto" w:fill="auto"/>
    </w:tcPr>
    <w:tblStylePr w:type="firstRow">
      <w:rPr>
        <w:b w:val="0"/>
        <w:smallCaps/>
        <w:color w:val="646567"/>
      </w:rPr>
      <w:tblPr/>
      <w:tcPr>
        <w:tcBorders>
          <w:bottom w:val="single" w:color="404040" w:themeColor="text1" w:themeTint="BF" w:sz="12" w:space="0"/>
        </w:tcBorders>
        <w:shd w:val="clear" w:color="auto" w:fill="auto"/>
        <w:vAlign w:val="bottom"/>
      </w:tcPr>
    </w:tblStylePr>
    <w:tblStylePr w:type="lastRow">
      <w:rPr>
        <w:b w:val="0"/>
      </w:rPr>
      <w:tblPr/>
      <w:tcPr>
        <w:tcBorders>
          <w:top w:val="single" w:color="404040" w:themeColor="text1" w:themeTint="BF" w:sz="12" w:space="0"/>
        </w:tcBorders>
        <w:shd w:val="clear" w:color="auto" w:fill="auto"/>
      </w:tcPr>
    </w:tblStylePr>
    <w:tblStylePr w:type="firstCol">
      <w:rPr>
        <w:color w:val="000000"/>
      </w:rPr>
      <w:tblPr/>
      <w:tcPr>
        <w:tcBorders>
          <w:right w:val="single" w:color="404040" w:themeColor="text1" w:themeTint="BF" w:sz="12" w:space="0"/>
        </w:tcBorders>
      </w:tcPr>
    </w:tblStylePr>
    <w:tblStylePr w:type="band1Horz">
      <w:tblPr/>
      <w:tcPr>
        <w:shd w:val="clear" w:color="auto" w:fill="auto"/>
      </w:tcPr>
    </w:tblStylePr>
    <w:tblStylePr w:type="band2Horz">
      <w:tblPr/>
      <w:tcPr>
        <w:shd w:val="clear" w:color="FFFFFF" w:themeColor="background1" w:fill="F2F2F2"/>
      </w:tcPr>
    </w:tblStylePr>
  </w:style>
  <w:style w:type="table" w:styleId="EurolookLightGrey2" w:customStyle="1">
    <w:name w:val="Eurolook Light Grey 2"/>
    <w:basedOn w:val="TableNormal"/>
    <w:semiHidden/>
    <w:unhideWhenUsed/>
    <w:pPr>
      <w:spacing w:after="240"/>
    </w:pPr>
    <w:tblPr>
      <w:tblStyleRowBandSize w:val="1"/>
      <w:tblStyleColBandSize w:val="1"/>
      <w:tblInd w:w="1077" w:type="dxa"/>
      <w:tblBorders>
        <w:top w:val="nil"/>
        <w:left w:val="nil"/>
        <w:bottom w:val="nil"/>
        <w:right w:val="nil"/>
        <w:insideH w:val="single" w:color="C5C7C8" w:sz="6" w:space="0"/>
        <w:insideV w:val="single" w:color="C5C7C8" w:sz="6" w:space="0"/>
      </w:tblBorders>
    </w:tblPr>
    <w:tcPr>
      <w:shd w:val="clear" w:color="auto" w:fill="auto"/>
    </w:tcPr>
    <w:tblStylePr w:type="firstRow">
      <w:rPr>
        <w:b w:val="0"/>
        <w:smallCaps/>
        <w:color w:val="646567"/>
      </w:rPr>
      <w:tblPr/>
      <w:tcPr>
        <w:tcBorders>
          <w:bottom w:val="single" w:color="404040" w:themeColor="text1" w:themeTint="BF" w:sz="12" w:space="0"/>
        </w:tcBorders>
        <w:shd w:val="clear" w:color="auto" w:fill="auto"/>
        <w:vAlign w:val="bottom"/>
      </w:tcPr>
    </w:tblStylePr>
    <w:tblStylePr w:type="lastRow">
      <w:rPr>
        <w:b w:val="0"/>
      </w:rPr>
      <w:tblPr/>
      <w:tcPr>
        <w:tcBorders>
          <w:top w:val="single" w:color="404040" w:themeColor="text1" w:themeTint="BF" w:sz="12" w:space="0"/>
        </w:tcBorders>
        <w:shd w:val="clear" w:color="auto" w:fill="auto"/>
      </w:tcPr>
    </w:tblStylePr>
    <w:tblStylePr w:type="firstCol">
      <w:rPr>
        <w:color w:val="000000"/>
      </w:rPr>
      <w:tblPr/>
      <w:tcPr>
        <w:tcBorders>
          <w:right w:val="single" w:color="404040" w:themeColor="text1" w:themeTint="BF" w:sz="12" w:space="0"/>
        </w:tcBorders>
      </w:tcPr>
    </w:tblStylePr>
    <w:tblStylePr w:type="band1Horz">
      <w:tblPr/>
      <w:tcPr>
        <w:shd w:val="clear" w:color="auto" w:fill="auto"/>
      </w:tcPr>
    </w:tblStylePr>
    <w:tblStylePr w:type="band2Horz">
      <w:tblPr/>
      <w:tcPr>
        <w:shd w:val="clear" w:color="FFFFFF" w:themeColor="background1" w:fill="F2F2F2"/>
      </w:tcPr>
    </w:tblStylePr>
  </w:style>
  <w:style w:type="table" w:styleId="EurolookLightGrey3" w:customStyle="1">
    <w:name w:val="Eurolook Light Grey 3"/>
    <w:basedOn w:val="TableNormal"/>
    <w:semiHidden/>
    <w:unhideWhenUsed/>
    <w:pPr>
      <w:spacing w:after="240"/>
    </w:pPr>
    <w:tblPr>
      <w:tblStyleRowBandSize w:val="1"/>
      <w:tblStyleColBandSize w:val="1"/>
      <w:tblInd w:w="1916" w:type="dxa"/>
      <w:tblBorders>
        <w:top w:val="nil"/>
        <w:left w:val="nil"/>
        <w:bottom w:val="nil"/>
        <w:right w:val="nil"/>
        <w:insideH w:val="single" w:color="C5C7C8" w:sz="6" w:space="0"/>
        <w:insideV w:val="single" w:color="C5C7C8" w:sz="6" w:space="0"/>
      </w:tblBorders>
    </w:tblPr>
    <w:tcPr>
      <w:shd w:val="clear" w:color="auto" w:fill="auto"/>
    </w:tcPr>
    <w:tblStylePr w:type="firstRow">
      <w:rPr>
        <w:b w:val="0"/>
        <w:smallCaps/>
        <w:color w:val="646567"/>
      </w:rPr>
      <w:tblPr/>
      <w:tcPr>
        <w:tcBorders>
          <w:bottom w:val="single" w:color="404040" w:themeColor="text1" w:themeTint="BF" w:sz="12" w:space="0"/>
        </w:tcBorders>
        <w:shd w:val="clear" w:color="auto" w:fill="auto"/>
        <w:vAlign w:val="bottom"/>
      </w:tcPr>
    </w:tblStylePr>
    <w:tblStylePr w:type="lastRow">
      <w:rPr>
        <w:b w:val="0"/>
      </w:rPr>
      <w:tblPr/>
      <w:tcPr>
        <w:tcBorders>
          <w:top w:val="single" w:color="404040" w:themeColor="text1" w:themeTint="BF" w:sz="12" w:space="0"/>
        </w:tcBorders>
        <w:shd w:val="clear" w:color="auto" w:fill="auto"/>
      </w:tcPr>
    </w:tblStylePr>
    <w:tblStylePr w:type="firstCol">
      <w:rPr>
        <w:color w:val="000000"/>
      </w:rPr>
      <w:tblPr/>
      <w:tcPr>
        <w:tcBorders>
          <w:right w:val="single" w:color="404040" w:themeColor="text1" w:themeTint="BF" w:sz="12" w:space="0"/>
        </w:tcBorders>
      </w:tcPr>
    </w:tblStylePr>
    <w:tblStylePr w:type="band1Horz">
      <w:tblPr/>
      <w:tcPr>
        <w:shd w:val="clear" w:color="auto" w:fill="auto"/>
      </w:tcPr>
    </w:tblStylePr>
    <w:tblStylePr w:type="band2Horz">
      <w:tblPr/>
      <w:tcPr>
        <w:shd w:val="clear" w:color="FFFFFF" w:themeColor="background1" w:fill="F2F2F2"/>
      </w:tcPr>
    </w:tblStylePr>
  </w:style>
  <w:style w:type="table" w:styleId="EurolookLightGrey4" w:customStyle="1">
    <w:name w:val="Eurolook Light Grey 4"/>
    <w:basedOn w:val="TableNormal"/>
    <w:semiHidden/>
    <w:unhideWhenUsed/>
    <w:pPr>
      <w:spacing w:after="240"/>
    </w:pPr>
    <w:tblPr>
      <w:tblStyleRowBandSize w:val="1"/>
      <w:tblStyleColBandSize w:val="1"/>
      <w:tblInd w:w="2880" w:type="dxa"/>
      <w:tblBorders>
        <w:top w:val="nil"/>
        <w:left w:val="nil"/>
        <w:bottom w:val="nil"/>
        <w:right w:val="nil"/>
        <w:insideH w:val="single" w:color="C5C7C8" w:sz="6" w:space="0"/>
        <w:insideV w:val="single" w:color="C5C7C8" w:sz="6" w:space="0"/>
      </w:tblBorders>
    </w:tblPr>
    <w:tcPr>
      <w:shd w:val="clear" w:color="auto" w:fill="auto"/>
    </w:tcPr>
    <w:tblStylePr w:type="firstRow">
      <w:rPr>
        <w:b w:val="0"/>
        <w:smallCaps/>
        <w:color w:val="646567"/>
      </w:rPr>
      <w:tblPr/>
      <w:tcPr>
        <w:tcBorders>
          <w:bottom w:val="single" w:color="404040" w:themeColor="text1" w:themeTint="BF" w:sz="12" w:space="0"/>
        </w:tcBorders>
        <w:shd w:val="clear" w:color="auto" w:fill="auto"/>
        <w:vAlign w:val="bottom"/>
      </w:tcPr>
    </w:tblStylePr>
    <w:tblStylePr w:type="lastRow">
      <w:rPr>
        <w:b w:val="0"/>
      </w:rPr>
      <w:tblPr/>
      <w:tcPr>
        <w:tcBorders>
          <w:top w:val="single" w:color="404040" w:themeColor="text1" w:themeTint="BF" w:sz="12" w:space="0"/>
        </w:tcBorders>
        <w:shd w:val="clear" w:color="auto" w:fill="auto"/>
      </w:tcPr>
    </w:tblStylePr>
    <w:tblStylePr w:type="firstCol">
      <w:rPr>
        <w:color w:val="000000"/>
      </w:rPr>
      <w:tblPr/>
      <w:tcPr>
        <w:tcBorders>
          <w:right w:val="single" w:color="404040" w:themeColor="text1" w:themeTint="BF" w:sz="12" w:space="0"/>
        </w:tcBorders>
      </w:tcPr>
    </w:tblStylePr>
    <w:tblStylePr w:type="band1Horz">
      <w:tblPr/>
      <w:tcPr>
        <w:shd w:val="clear" w:color="auto" w:fill="auto"/>
      </w:tcPr>
    </w:tblStylePr>
    <w:tblStylePr w:type="band2Horz">
      <w:tblPr/>
      <w:tcPr>
        <w:shd w:val="clear" w:color="FFFFFF" w:themeColor="background1" w:fill="F2F2F2"/>
      </w:tcPr>
    </w:tblStylePr>
  </w:style>
  <w:style w:type="table" w:styleId="EurolookLightOlive" w:customStyle="1">
    <w:name w:val="Eurolook Light Olive"/>
    <w:basedOn w:val="TableNormal"/>
    <w:pPr>
      <w:spacing w:after="240"/>
    </w:pPr>
    <w:tblPr>
      <w:tblStyleRowBandSize w:val="1"/>
      <w:tblStyleColBandSize w:val="1"/>
      <w:tblBorders>
        <w:top w:val="nil"/>
        <w:left w:val="nil"/>
        <w:bottom w:val="nil"/>
        <w:right w:val="nil"/>
        <w:insideH w:val="single" w:color="C5C7C8" w:sz="6" w:space="0"/>
        <w:insideV w:val="single" w:color="C5C7C8" w:sz="6" w:space="0"/>
      </w:tblBorders>
    </w:tblPr>
    <w:tcPr>
      <w:shd w:val="clear" w:color="auto" w:fill="auto"/>
    </w:tcPr>
    <w:tblStylePr w:type="firstRow">
      <w:rPr>
        <w:b w:val="0"/>
        <w:smallCaps/>
        <w:color w:val="4E7849"/>
      </w:rPr>
      <w:tblPr/>
      <w:tcPr>
        <w:tcBorders>
          <w:bottom w:val="single" w:color="404040" w:themeColor="text1" w:themeTint="BF" w:sz="12" w:space="0"/>
        </w:tcBorders>
        <w:shd w:val="clear" w:color="auto" w:fill="auto"/>
        <w:vAlign w:val="bottom"/>
      </w:tcPr>
    </w:tblStylePr>
    <w:tblStylePr w:type="lastRow">
      <w:rPr>
        <w:b w:val="0"/>
      </w:rPr>
      <w:tblPr/>
      <w:tcPr>
        <w:tcBorders>
          <w:top w:val="single" w:color="404040" w:themeColor="text1" w:themeTint="BF" w:sz="12" w:space="0"/>
        </w:tcBorders>
        <w:shd w:val="clear" w:color="auto" w:fill="auto"/>
      </w:tcPr>
    </w:tblStylePr>
    <w:tblStylePr w:type="firstCol">
      <w:rPr>
        <w:color w:val="000000"/>
      </w:rPr>
      <w:tblPr/>
      <w:tcPr>
        <w:tcBorders>
          <w:right w:val="single" w:color="404040" w:themeColor="text1" w:themeTint="BF" w:sz="12" w:space="0"/>
        </w:tcBorders>
      </w:tcPr>
    </w:tblStylePr>
    <w:tblStylePr w:type="band1Horz">
      <w:tblPr/>
      <w:tcPr>
        <w:shd w:val="clear" w:color="auto" w:fill="auto"/>
      </w:tcPr>
    </w:tblStylePr>
    <w:tblStylePr w:type="band2Horz">
      <w:tblPr/>
      <w:tcPr>
        <w:shd w:val="clear" w:color="FFFFFF" w:themeColor="background1" w:fill="F2F2F2"/>
      </w:tcPr>
    </w:tblStylePr>
  </w:style>
  <w:style w:type="table" w:styleId="EurolookLightOlive1" w:customStyle="1">
    <w:name w:val="Eurolook Light Olive 1"/>
    <w:basedOn w:val="TableNormal"/>
    <w:semiHidden/>
    <w:unhideWhenUsed/>
    <w:pPr>
      <w:spacing w:after="240"/>
    </w:pPr>
    <w:tblPr>
      <w:tblStyleRowBandSize w:val="1"/>
      <w:tblStyleColBandSize w:val="1"/>
      <w:tblInd w:w="482" w:type="dxa"/>
      <w:tblBorders>
        <w:top w:val="nil"/>
        <w:left w:val="nil"/>
        <w:bottom w:val="nil"/>
        <w:right w:val="nil"/>
        <w:insideH w:val="single" w:color="C5C7C8" w:sz="6" w:space="0"/>
        <w:insideV w:val="single" w:color="C5C7C8" w:sz="6" w:space="0"/>
      </w:tblBorders>
    </w:tblPr>
    <w:tcPr>
      <w:shd w:val="clear" w:color="auto" w:fill="auto"/>
    </w:tcPr>
    <w:tblStylePr w:type="firstRow">
      <w:rPr>
        <w:b w:val="0"/>
        <w:smallCaps/>
        <w:color w:val="4E7849"/>
      </w:rPr>
      <w:tblPr/>
      <w:tcPr>
        <w:tcBorders>
          <w:bottom w:val="single" w:color="404040" w:themeColor="text1" w:themeTint="BF" w:sz="12" w:space="0"/>
        </w:tcBorders>
        <w:shd w:val="clear" w:color="auto" w:fill="auto"/>
        <w:vAlign w:val="bottom"/>
      </w:tcPr>
    </w:tblStylePr>
    <w:tblStylePr w:type="lastRow">
      <w:rPr>
        <w:b w:val="0"/>
      </w:rPr>
      <w:tblPr/>
      <w:tcPr>
        <w:tcBorders>
          <w:top w:val="single" w:color="404040" w:themeColor="text1" w:themeTint="BF" w:sz="12" w:space="0"/>
        </w:tcBorders>
        <w:shd w:val="clear" w:color="auto" w:fill="auto"/>
      </w:tcPr>
    </w:tblStylePr>
    <w:tblStylePr w:type="firstCol">
      <w:rPr>
        <w:color w:val="000000"/>
      </w:rPr>
      <w:tblPr/>
      <w:tcPr>
        <w:tcBorders>
          <w:right w:val="single" w:color="404040" w:themeColor="text1" w:themeTint="BF" w:sz="12" w:space="0"/>
        </w:tcBorders>
      </w:tcPr>
    </w:tblStylePr>
    <w:tblStylePr w:type="band1Horz">
      <w:tblPr/>
      <w:tcPr>
        <w:shd w:val="clear" w:color="auto" w:fill="auto"/>
      </w:tcPr>
    </w:tblStylePr>
    <w:tblStylePr w:type="band2Horz">
      <w:tblPr/>
      <w:tcPr>
        <w:shd w:val="clear" w:color="FFFFFF" w:themeColor="background1" w:fill="F2F2F2"/>
      </w:tcPr>
    </w:tblStylePr>
  </w:style>
  <w:style w:type="table" w:styleId="EurolookLightOlive2" w:customStyle="1">
    <w:name w:val="Eurolook Light Olive 2"/>
    <w:basedOn w:val="TableNormal"/>
    <w:semiHidden/>
    <w:unhideWhenUsed/>
    <w:pPr>
      <w:spacing w:after="240"/>
    </w:pPr>
    <w:tblPr>
      <w:tblStyleRowBandSize w:val="1"/>
      <w:tblStyleColBandSize w:val="1"/>
      <w:tblInd w:w="1077" w:type="dxa"/>
      <w:tblBorders>
        <w:top w:val="nil"/>
        <w:left w:val="nil"/>
        <w:bottom w:val="nil"/>
        <w:right w:val="nil"/>
        <w:insideH w:val="single" w:color="C5C7C8" w:sz="6" w:space="0"/>
        <w:insideV w:val="single" w:color="C5C7C8" w:sz="6" w:space="0"/>
      </w:tblBorders>
    </w:tblPr>
    <w:tcPr>
      <w:shd w:val="clear" w:color="auto" w:fill="auto"/>
    </w:tcPr>
    <w:tblStylePr w:type="firstRow">
      <w:rPr>
        <w:b w:val="0"/>
        <w:smallCaps/>
        <w:color w:val="4E7849"/>
      </w:rPr>
      <w:tblPr/>
      <w:tcPr>
        <w:tcBorders>
          <w:bottom w:val="single" w:color="404040" w:themeColor="text1" w:themeTint="BF" w:sz="12" w:space="0"/>
        </w:tcBorders>
        <w:shd w:val="clear" w:color="auto" w:fill="auto"/>
        <w:vAlign w:val="bottom"/>
      </w:tcPr>
    </w:tblStylePr>
    <w:tblStylePr w:type="lastRow">
      <w:rPr>
        <w:b w:val="0"/>
      </w:rPr>
      <w:tblPr/>
      <w:tcPr>
        <w:tcBorders>
          <w:top w:val="single" w:color="404040" w:themeColor="text1" w:themeTint="BF" w:sz="12" w:space="0"/>
        </w:tcBorders>
        <w:shd w:val="clear" w:color="auto" w:fill="auto"/>
      </w:tcPr>
    </w:tblStylePr>
    <w:tblStylePr w:type="firstCol">
      <w:rPr>
        <w:color w:val="000000"/>
      </w:rPr>
      <w:tblPr/>
      <w:tcPr>
        <w:tcBorders>
          <w:right w:val="single" w:color="404040" w:themeColor="text1" w:themeTint="BF" w:sz="12" w:space="0"/>
        </w:tcBorders>
      </w:tcPr>
    </w:tblStylePr>
    <w:tblStylePr w:type="band1Horz">
      <w:tblPr/>
      <w:tcPr>
        <w:shd w:val="clear" w:color="auto" w:fill="auto"/>
      </w:tcPr>
    </w:tblStylePr>
    <w:tblStylePr w:type="band2Horz">
      <w:tblPr/>
      <w:tcPr>
        <w:shd w:val="clear" w:color="FFFFFF" w:themeColor="background1" w:fill="F2F2F2"/>
      </w:tcPr>
    </w:tblStylePr>
  </w:style>
  <w:style w:type="table" w:styleId="EurolookLightOlive3" w:customStyle="1">
    <w:name w:val="Eurolook Light Olive 3"/>
    <w:basedOn w:val="TableNormal"/>
    <w:semiHidden/>
    <w:unhideWhenUsed/>
    <w:pPr>
      <w:spacing w:after="240"/>
    </w:pPr>
    <w:tblPr>
      <w:tblStyleRowBandSize w:val="1"/>
      <w:tblStyleColBandSize w:val="1"/>
      <w:tblInd w:w="1916" w:type="dxa"/>
      <w:tblBorders>
        <w:top w:val="nil"/>
        <w:left w:val="nil"/>
        <w:bottom w:val="nil"/>
        <w:right w:val="nil"/>
        <w:insideH w:val="single" w:color="C5C7C8" w:sz="6" w:space="0"/>
        <w:insideV w:val="single" w:color="C5C7C8" w:sz="6" w:space="0"/>
      </w:tblBorders>
    </w:tblPr>
    <w:tcPr>
      <w:shd w:val="clear" w:color="auto" w:fill="auto"/>
    </w:tcPr>
    <w:tblStylePr w:type="firstRow">
      <w:rPr>
        <w:b w:val="0"/>
        <w:smallCaps/>
        <w:color w:val="4E7849"/>
      </w:rPr>
      <w:tblPr/>
      <w:tcPr>
        <w:tcBorders>
          <w:bottom w:val="single" w:color="404040" w:themeColor="text1" w:themeTint="BF" w:sz="12" w:space="0"/>
        </w:tcBorders>
        <w:shd w:val="clear" w:color="auto" w:fill="auto"/>
        <w:vAlign w:val="bottom"/>
      </w:tcPr>
    </w:tblStylePr>
    <w:tblStylePr w:type="lastRow">
      <w:rPr>
        <w:b w:val="0"/>
      </w:rPr>
      <w:tblPr/>
      <w:tcPr>
        <w:tcBorders>
          <w:top w:val="single" w:color="404040" w:themeColor="text1" w:themeTint="BF" w:sz="12" w:space="0"/>
        </w:tcBorders>
        <w:shd w:val="clear" w:color="auto" w:fill="auto"/>
      </w:tcPr>
    </w:tblStylePr>
    <w:tblStylePr w:type="firstCol">
      <w:rPr>
        <w:color w:val="000000"/>
      </w:rPr>
      <w:tblPr/>
      <w:tcPr>
        <w:tcBorders>
          <w:right w:val="single" w:color="404040" w:themeColor="text1" w:themeTint="BF" w:sz="12" w:space="0"/>
        </w:tcBorders>
      </w:tcPr>
    </w:tblStylePr>
    <w:tblStylePr w:type="band1Horz">
      <w:tblPr/>
      <w:tcPr>
        <w:shd w:val="clear" w:color="auto" w:fill="auto"/>
      </w:tcPr>
    </w:tblStylePr>
    <w:tblStylePr w:type="band2Horz">
      <w:tblPr/>
      <w:tcPr>
        <w:shd w:val="clear" w:color="FFFFFF" w:themeColor="background1" w:fill="F2F2F2"/>
      </w:tcPr>
    </w:tblStylePr>
  </w:style>
  <w:style w:type="table" w:styleId="EurolookLightOlive4" w:customStyle="1">
    <w:name w:val="Eurolook Light Olive 4"/>
    <w:basedOn w:val="TableNormal"/>
    <w:semiHidden/>
    <w:unhideWhenUsed/>
    <w:pPr>
      <w:spacing w:after="240"/>
    </w:pPr>
    <w:tblPr>
      <w:tblStyleRowBandSize w:val="1"/>
      <w:tblStyleColBandSize w:val="1"/>
      <w:tblInd w:w="2880" w:type="dxa"/>
      <w:tblBorders>
        <w:top w:val="nil"/>
        <w:left w:val="nil"/>
        <w:bottom w:val="nil"/>
        <w:right w:val="nil"/>
        <w:insideH w:val="single" w:color="C5C7C8" w:sz="6" w:space="0"/>
        <w:insideV w:val="single" w:color="C5C7C8" w:sz="6" w:space="0"/>
      </w:tblBorders>
    </w:tblPr>
    <w:tcPr>
      <w:shd w:val="clear" w:color="auto" w:fill="auto"/>
    </w:tcPr>
    <w:tblStylePr w:type="firstRow">
      <w:rPr>
        <w:b w:val="0"/>
        <w:smallCaps/>
        <w:color w:val="4E7849"/>
      </w:rPr>
      <w:tblPr/>
      <w:tcPr>
        <w:tcBorders>
          <w:bottom w:val="single" w:color="404040" w:themeColor="text1" w:themeTint="BF" w:sz="12" w:space="0"/>
        </w:tcBorders>
        <w:shd w:val="clear" w:color="auto" w:fill="auto"/>
        <w:vAlign w:val="bottom"/>
      </w:tcPr>
    </w:tblStylePr>
    <w:tblStylePr w:type="lastRow">
      <w:rPr>
        <w:b w:val="0"/>
      </w:rPr>
      <w:tblPr/>
      <w:tcPr>
        <w:tcBorders>
          <w:top w:val="single" w:color="404040" w:themeColor="text1" w:themeTint="BF" w:sz="12" w:space="0"/>
        </w:tcBorders>
        <w:shd w:val="clear" w:color="auto" w:fill="auto"/>
      </w:tcPr>
    </w:tblStylePr>
    <w:tblStylePr w:type="firstCol">
      <w:rPr>
        <w:color w:val="000000"/>
      </w:rPr>
      <w:tblPr/>
      <w:tcPr>
        <w:tcBorders>
          <w:right w:val="single" w:color="404040" w:themeColor="text1" w:themeTint="BF" w:sz="12" w:space="0"/>
        </w:tcBorders>
      </w:tcPr>
    </w:tblStylePr>
    <w:tblStylePr w:type="band1Horz">
      <w:tblPr/>
      <w:tcPr>
        <w:shd w:val="clear" w:color="auto" w:fill="auto"/>
      </w:tcPr>
    </w:tblStylePr>
    <w:tblStylePr w:type="band2Horz">
      <w:tblPr/>
      <w:tcPr>
        <w:shd w:val="clear" w:color="FFFFFF" w:themeColor="background1" w:fill="F2F2F2"/>
      </w:tcPr>
    </w:tblStylePr>
  </w:style>
  <w:style w:type="table" w:styleId="EurolookLightPetrol" w:customStyle="1">
    <w:name w:val="Eurolook Light Petrol"/>
    <w:basedOn w:val="TableNormal"/>
    <w:pPr>
      <w:spacing w:after="240"/>
    </w:pPr>
    <w:tblPr>
      <w:tblStyleRowBandSize w:val="1"/>
      <w:tblStyleColBandSize w:val="1"/>
      <w:tblBorders>
        <w:top w:val="nil"/>
        <w:left w:val="nil"/>
        <w:bottom w:val="nil"/>
        <w:right w:val="nil"/>
        <w:insideH w:val="single" w:color="C5C7C8" w:sz="6" w:space="0"/>
        <w:insideV w:val="single" w:color="C5C7C8" w:sz="6" w:space="0"/>
      </w:tblBorders>
    </w:tblPr>
    <w:tcPr>
      <w:shd w:val="clear" w:color="auto" w:fill="auto"/>
    </w:tcPr>
    <w:tblStylePr w:type="firstRow">
      <w:rPr>
        <w:b w:val="0"/>
        <w:smallCaps/>
        <w:color w:val="007D98"/>
      </w:rPr>
      <w:tblPr/>
      <w:tcPr>
        <w:tcBorders>
          <w:bottom w:val="single" w:color="404040" w:themeColor="text1" w:themeTint="BF" w:sz="12" w:space="0"/>
        </w:tcBorders>
        <w:shd w:val="clear" w:color="auto" w:fill="auto"/>
        <w:vAlign w:val="bottom"/>
      </w:tcPr>
    </w:tblStylePr>
    <w:tblStylePr w:type="lastRow">
      <w:rPr>
        <w:b w:val="0"/>
      </w:rPr>
      <w:tblPr/>
      <w:tcPr>
        <w:tcBorders>
          <w:top w:val="single" w:color="404040" w:themeColor="text1" w:themeTint="BF" w:sz="12" w:space="0"/>
        </w:tcBorders>
        <w:shd w:val="clear" w:color="auto" w:fill="auto"/>
      </w:tcPr>
    </w:tblStylePr>
    <w:tblStylePr w:type="firstCol">
      <w:rPr>
        <w:color w:val="000000"/>
      </w:rPr>
      <w:tblPr/>
      <w:tcPr>
        <w:tcBorders>
          <w:right w:val="single" w:color="404040" w:themeColor="text1" w:themeTint="BF" w:sz="12" w:space="0"/>
        </w:tcBorders>
      </w:tcPr>
    </w:tblStylePr>
    <w:tblStylePr w:type="band1Horz">
      <w:tblPr/>
      <w:tcPr>
        <w:shd w:val="clear" w:color="auto" w:fill="auto"/>
      </w:tcPr>
    </w:tblStylePr>
    <w:tblStylePr w:type="band2Horz">
      <w:tblPr/>
      <w:tcPr>
        <w:shd w:val="clear" w:color="FFFFFF" w:themeColor="background1" w:fill="F2F2F2"/>
      </w:tcPr>
    </w:tblStylePr>
  </w:style>
  <w:style w:type="table" w:styleId="EurolookLightPetrol1" w:customStyle="1">
    <w:name w:val="Eurolook Light Petrol 1"/>
    <w:basedOn w:val="TableNormal"/>
    <w:semiHidden/>
    <w:unhideWhenUsed/>
    <w:pPr>
      <w:spacing w:after="240"/>
    </w:pPr>
    <w:tblPr>
      <w:tblStyleRowBandSize w:val="1"/>
      <w:tblStyleColBandSize w:val="1"/>
      <w:tblInd w:w="482" w:type="dxa"/>
      <w:tblBorders>
        <w:top w:val="nil"/>
        <w:left w:val="nil"/>
        <w:bottom w:val="nil"/>
        <w:right w:val="nil"/>
        <w:insideH w:val="single" w:color="C5C7C8" w:sz="6" w:space="0"/>
        <w:insideV w:val="single" w:color="C5C7C8" w:sz="6" w:space="0"/>
      </w:tblBorders>
    </w:tblPr>
    <w:tcPr>
      <w:shd w:val="clear" w:color="auto" w:fill="auto"/>
    </w:tcPr>
    <w:tblStylePr w:type="firstRow">
      <w:rPr>
        <w:b w:val="0"/>
        <w:smallCaps/>
        <w:color w:val="007D98"/>
      </w:rPr>
      <w:tblPr/>
      <w:tcPr>
        <w:tcBorders>
          <w:bottom w:val="single" w:color="404040" w:themeColor="text1" w:themeTint="BF" w:sz="12" w:space="0"/>
        </w:tcBorders>
        <w:shd w:val="clear" w:color="auto" w:fill="auto"/>
        <w:vAlign w:val="bottom"/>
      </w:tcPr>
    </w:tblStylePr>
    <w:tblStylePr w:type="lastRow">
      <w:rPr>
        <w:b w:val="0"/>
      </w:rPr>
      <w:tblPr/>
      <w:tcPr>
        <w:tcBorders>
          <w:top w:val="single" w:color="404040" w:themeColor="text1" w:themeTint="BF" w:sz="12" w:space="0"/>
        </w:tcBorders>
        <w:shd w:val="clear" w:color="auto" w:fill="auto"/>
      </w:tcPr>
    </w:tblStylePr>
    <w:tblStylePr w:type="firstCol">
      <w:rPr>
        <w:color w:val="000000"/>
      </w:rPr>
      <w:tblPr/>
      <w:tcPr>
        <w:tcBorders>
          <w:right w:val="single" w:color="404040" w:themeColor="text1" w:themeTint="BF" w:sz="12" w:space="0"/>
        </w:tcBorders>
      </w:tcPr>
    </w:tblStylePr>
    <w:tblStylePr w:type="band1Horz">
      <w:tblPr/>
      <w:tcPr>
        <w:shd w:val="clear" w:color="auto" w:fill="auto"/>
      </w:tcPr>
    </w:tblStylePr>
    <w:tblStylePr w:type="band2Horz">
      <w:tblPr/>
      <w:tcPr>
        <w:shd w:val="clear" w:color="FFFFFF" w:themeColor="background1" w:fill="F2F2F2"/>
      </w:tcPr>
    </w:tblStylePr>
  </w:style>
  <w:style w:type="table" w:styleId="EurolookLightPetrol2" w:customStyle="1">
    <w:name w:val="Eurolook Light Petrol 2"/>
    <w:basedOn w:val="TableNormal"/>
    <w:semiHidden/>
    <w:unhideWhenUsed/>
    <w:pPr>
      <w:spacing w:after="240"/>
    </w:pPr>
    <w:tblPr>
      <w:tblStyleRowBandSize w:val="1"/>
      <w:tblStyleColBandSize w:val="1"/>
      <w:tblInd w:w="1077" w:type="dxa"/>
      <w:tblBorders>
        <w:top w:val="nil"/>
        <w:left w:val="nil"/>
        <w:bottom w:val="nil"/>
        <w:right w:val="nil"/>
        <w:insideH w:val="single" w:color="C5C7C8" w:sz="6" w:space="0"/>
        <w:insideV w:val="single" w:color="C5C7C8" w:sz="6" w:space="0"/>
      </w:tblBorders>
    </w:tblPr>
    <w:tcPr>
      <w:shd w:val="clear" w:color="auto" w:fill="auto"/>
    </w:tcPr>
    <w:tblStylePr w:type="firstRow">
      <w:rPr>
        <w:b w:val="0"/>
        <w:smallCaps/>
        <w:color w:val="007D98"/>
      </w:rPr>
      <w:tblPr/>
      <w:tcPr>
        <w:tcBorders>
          <w:bottom w:val="single" w:color="404040" w:themeColor="text1" w:themeTint="BF" w:sz="12" w:space="0"/>
        </w:tcBorders>
        <w:shd w:val="clear" w:color="auto" w:fill="auto"/>
        <w:vAlign w:val="bottom"/>
      </w:tcPr>
    </w:tblStylePr>
    <w:tblStylePr w:type="lastRow">
      <w:rPr>
        <w:b w:val="0"/>
      </w:rPr>
      <w:tblPr/>
      <w:tcPr>
        <w:tcBorders>
          <w:top w:val="single" w:color="404040" w:themeColor="text1" w:themeTint="BF" w:sz="12" w:space="0"/>
        </w:tcBorders>
        <w:shd w:val="clear" w:color="auto" w:fill="auto"/>
      </w:tcPr>
    </w:tblStylePr>
    <w:tblStylePr w:type="firstCol">
      <w:rPr>
        <w:color w:val="000000"/>
      </w:rPr>
      <w:tblPr/>
      <w:tcPr>
        <w:tcBorders>
          <w:right w:val="single" w:color="404040" w:themeColor="text1" w:themeTint="BF" w:sz="12" w:space="0"/>
        </w:tcBorders>
      </w:tcPr>
    </w:tblStylePr>
    <w:tblStylePr w:type="band1Horz">
      <w:tblPr/>
      <w:tcPr>
        <w:shd w:val="clear" w:color="auto" w:fill="auto"/>
      </w:tcPr>
    </w:tblStylePr>
    <w:tblStylePr w:type="band2Horz">
      <w:tblPr/>
      <w:tcPr>
        <w:shd w:val="clear" w:color="FFFFFF" w:themeColor="background1" w:fill="F2F2F2"/>
      </w:tcPr>
    </w:tblStylePr>
  </w:style>
  <w:style w:type="table" w:styleId="EurolookLightPetrol3" w:customStyle="1">
    <w:name w:val="Eurolook Light Petrol 3"/>
    <w:basedOn w:val="TableNormal"/>
    <w:semiHidden/>
    <w:unhideWhenUsed/>
    <w:pPr>
      <w:spacing w:after="240"/>
    </w:pPr>
    <w:tblPr>
      <w:tblStyleRowBandSize w:val="1"/>
      <w:tblStyleColBandSize w:val="1"/>
      <w:tblInd w:w="1916" w:type="dxa"/>
      <w:tblBorders>
        <w:top w:val="nil"/>
        <w:left w:val="nil"/>
        <w:bottom w:val="nil"/>
        <w:right w:val="nil"/>
        <w:insideH w:val="single" w:color="C5C7C8" w:sz="6" w:space="0"/>
        <w:insideV w:val="single" w:color="C5C7C8" w:sz="6" w:space="0"/>
      </w:tblBorders>
    </w:tblPr>
    <w:tcPr>
      <w:shd w:val="clear" w:color="auto" w:fill="auto"/>
    </w:tcPr>
    <w:tblStylePr w:type="firstRow">
      <w:rPr>
        <w:b w:val="0"/>
        <w:smallCaps/>
        <w:color w:val="007D98"/>
      </w:rPr>
      <w:tblPr/>
      <w:tcPr>
        <w:tcBorders>
          <w:bottom w:val="single" w:color="404040" w:themeColor="text1" w:themeTint="BF" w:sz="12" w:space="0"/>
        </w:tcBorders>
        <w:shd w:val="clear" w:color="auto" w:fill="auto"/>
        <w:vAlign w:val="bottom"/>
      </w:tcPr>
    </w:tblStylePr>
    <w:tblStylePr w:type="lastRow">
      <w:rPr>
        <w:b w:val="0"/>
      </w:rPr>
      <w:tblPr/>
      <w:tcPr>
        <w:tcBorders>
          <w:top w:val="single" w:color="404040" w:themeColor="text1" w:themeTint="BF" w:sz="12" w:space="0"/>
        </w:tcBorders>
        <w:shd w:val="clear" w:color="auto" w:fill="auto"/>
      </w:tcPr>
    </w:tblStylePr>
    <w:tblStylePr w:type="firstCol">
      <w:rPr>
        <w:color w:val="000000"/>
      </w:rPr>
      <w:tblPr/>
      <w:tcPr>
        <w:tcBorders>
          <w:right w:val="single" w:color="404040" w:themeColor="text1" w:themeTint="BF" w:sz="12" w:space="0"/>
        </w:tcBorders>
      </w:tcPr>
    </w:tblStylePr>
    <w:tblStylePr w:type="band1Horz">
      <w:tblPr/>
      <w:tcPr>
        <w:shd w:val="clear" w:color="auto" w:fill="auto"/>
      </w:tcPr>
    </w:tblStylePr>
    <w:tblStylePr w:type="band2Horz">
      <w:tblPr/>
      <w:tcPr>
        <w:shd w:val="clear" w:color="FFFFFF" w:themeColor="background1" w:fill="F2F2F2"/>
      </w:tcPr>
    </w:tblStylePr>
  </w:style>
  <w:style w:type="table" w:styleId="EurolookLightPetrol4" w:customStyle="1">
    <w:name w:val="Eurolook Light Petrol 4"/>
    <w:basedOn w:val="TableNormal"/>
    <w:semiHidden/>
    <w:unhideWhenUsed/>
    <w:pPr>
      <w:spacing w:after="240"/>
    </w:pPr>
    <w:tblPr>
      <w:tblStyleRowBandSize w:val="1"/>
      <w:tblStyleColBandSize w:val="1"/>
      <w:tblInd w:w="2880" w:type="dxa"/>
      <w:tblBorders>
        <w:top w:val="nil"/>
        <w:left w:val="nil"/>
        <w:bottom w:val="nil"/>
        <w:right w:val="nil"/>
        <w:insideH w:val="single" w:color="C5C7C8" w:sz="6" w:space="0"/>
        <w:insideV w:val="single" w:color="C5C7C8" w:sz="6" w:space="0"/>
      </w:tblBorders>
    </w:tblPr>
    <w:tcPr>
      <w:shd w:val="clear" w:color="auto" w:fill="auto"/>
    </w:tcPr>
    <w:tblStylePr w:type="firstRow">
      <w:rPr>
        <w:b w:val="0"/>
        <w:smallCaps/>
        <w:color w:val="007D98"/>
      </w:rPr>
      <w:tblPr/>
      <w:tcPr>
        <w:tcBorders>
          <w:bottom w:val="single" w:color="404040" w:themeColor="text1" w:themeTint="BF" w:sz="12" w:space="0"/>
        </w:tcBorders>
        <w:shd w:val="clear" w:color="auto" w:fill="auto"/>
        <w:vAlign w:val="bottom"/>
      </w:tcPr>
    </w:tblStylePr>
    <w:tblStylePr w:type="lastRow">
      <w:rPr>
        <w:b w:val="0"/>
      </w:rPr>
      <w:tblPr/>
      <w:tcPr>
        <w:tcBorders>
          <w:top w:val="single" w:color="404040" w:themeColor="text1" w:themeTint="BF" w:sz="12" w:space="0"/>
        </w:tcBorders>
        <w:shd w:val="clear" w:color="auto" w:fill="auto"/>
      </w:tcPr>
    </w:tblStylePr>
    <w:tblStylePr w:type="firstCol">
      <w:rPr>
        <w:color w:val="000000"/>
      </w:rPr>
      <w:tblPr/>
      <w:tcPr>
        <w:tcBorders>
          <w:right w:val="single" w:color="404040" w:themeColor="text1" w:themeTint="BF" w:sz="12" w:space="0"/>
        </w:tcBorders>
      </w:tcPr>
    </w:tblStylePr>
    <w:tblStylePr w:type="band1Horz">
      <w:tblPr/>
      <w:tcPr>
        <w:shd w:val="clear" w:color="auto" w:fill="auto"/>
      </w:tcPr>
    </w:tblStylePr>
    <w:tblStylePr w:type="band2Horz">
      <w:tblPr/>
      <w:tcPr>
        <w:shd w:val="clear" w:color="FFFFFF" w:themeColor="background1" w:fill="F2F2F2"/>
      </w:tcPr>
    </w:tblStylePr>
  </w:style>
  <w:style w:type="table" w:styleId="EurolookLightPurple" w:customStyle="1">
    <w:name w:val="Eurolook Light Purple"/>
    <w:basedOn w:val="TableNormal"/>
    <w:pPr>
      <w:spacing w:after="240"/>
    </w:pPr>
    <w:tblPr>
      <w:tblStyleRowBandSize w:val="1"/>
      <w:tblStyleColBandSize w:val="1"/>
      <w:tblBorders>
        <w:top w:val="nil"/>
        <w:left w:val="nil"/>
        <w:bottom w:val="nil"/>
        <w:right w:val="nil"/>
        <w:insideH w:val="single" w:color="C5C7C8" w:sz="6" w:space="0"/>
        <w:insideV w:val="single" w:color="C5C7C8" w:sz="6" w:space="0"/>
      </w:tblBorders>
    </w:tblPr>
    <w:tcPr>
      <w:shd w:val="clear" w:color="auto" w:fill="auto"/>
    </w:tcPr>
    <w:tblStylePr w:type="firstRow">
      <w:rPr>
        <w:b w:val="0"/>
        <w:smallCaps/>
        <w:color w:val="771D7B"/>
      </w:rPr>
      <w:tblPr/>
      <w:tcPr>
        <w:tcBorders>
          <w:bottom w:val="single" w:color="404040" w:themeColor="text1" w:themeTint="BF" w:sz="12" w:space="0"/>
        </w:tcBorders>
        <w:shd w:val="clear" w:color="auto" w:fill="auto"/>
        <w:vAlign w:val="bottom"/>
      </w:tcPr>
    </w:tblStylePr>
    <w:tblStylePr w:type="lastRow">
      <w:rPr>
        <w:b w:val="0"/>
      </w:rPr>
      <w:tblPr/>
      <w:tcPr>
        <w:tcBorders>
          <w:top w:val="single" w:color="404040" w:themeColor="text1" w:themeTint="BF" w:sz="12" w:space="0"/>
        </w:tcBorders>
        <w:shd w:val="clear" w:color="auto" w:fill="auto"/>
      </w:tcPr>
    </w:tblStylePr>
    <w:tblStylePr w:type="firstCol">
      <w:rPr>
        <w:color w:val="000000"/>
      </w:rPr>
      <w:tblPr/>
      <w:tcPr>
        <w:tcBorders>
          <w:right w:val="single" w:color="404040" w:themeColor="text1" w:themeTint="BF" w:sz="12" w:space="0"/>
        </w:tcBorders>
      </w:tcPr>
    </w:tblStylePr>
    <w:tblStylePr w:type="band1Horz">
      <w:tblPr/>
      <w:tcPr>
        <w:shd w:val="clear" w:color="auto" w:fill="auto"/>
      </w:tcPr>
    </w:tblStylePr>
    <w:tblStylePr w:type="band2Horz">
      <w:tblPr/>
      <w:tcPr>
        <w:shd w:val="clear" w:color="FFFFFF" w:themeColor="background1" w:fill="F2F2F2"/>
      </w:tcPr>
    </w:tblStylePr>
  </w:style>
  <w:style w:type="table" w:styleId="EurolookLightPurple1" w:customStyle="1">
    <w:name w:val="Eurolook Light Purple 1"/>
    <w:basedOn w:val="TableNormal"/>
    <w:semiHidden/>
    <w:unhideWhenUsed/>
    <w:pPr>
      <w:spacing w:after="240"/>
    </w:pPr>
    <w:tblPr>
      <w:tblStyleRowBandSize w:val="1"/>
      <w:tblStyleColBandSize w:val="1"/>
      <w:tblInd w:w="482" w:type="dxa"/>
      <w:tblBorders>
        <w:top w:val="nil"/>
        <w:left w:val="nil"/>
        <w:bottom w:val="nil"/>
        <w:right w:val="nil"/>
        <w:insideH w:val="single" w:color="C5C7C8" w:sz="6" w:space="0"/>
        <w:insideV w:val="single" w:color="C5C7C8" w:sz="6" w:space="0"/>
      </w:tblBorders>
    </w:tblPr>
    <w:tcPr>
      <w:shd w:val="clear" w:color="auto" w:fill="auto"/>
    </w:tcPr>
    <w:tblStylePr w:type="firstRow">
      <w:rPr>
        <w:b w:val="0"/>
        <w:smallCaps/>
        <w:color w:val="771D7B"/>
      </w:rPr>
      <w:tblPr/>
      <w:tcPr>
        <w:tcBorders>
          <w:bottom w:val="single" w:color="404040" w:themeColor="text1" w:themeTint="BF" w:sz="12" w:space="0"/>
        </w:tcBorders>
        <w:shd w:val="clear" w:color="auto" w:fill="auto"/>
        <w:vAlign w:val="bottom"/>
      </w:tcPr>
    </w:tblStylePr>
    <w:tblStylePr w:type="lastRow">
      <w:rPr>
        <w:b w:val="0"/>
      </w:rPr>
      <w:tblPr/>
      <w:tcPr>
        <w:tcBorders>
          <w:top w:val="single" w:color="404040" w:themeColor="text1" w:themeTint="BF" w:sz="12" w:space="0"/>
        </w:tcBorders>
        <w:shd w:val="clear" w:color="auto" w:fill="auto"/>
      </w:tcPr>
    </w:tblStylePr>
    <w:tblStylePr w:type="firstCol">
      <w:rPr>
        <w:color w:val="000000"/>
      </w:rPr>
      <w:tblPr/>
      <w:tcPr>
        <w:tcBorders>
          <w:right w:val="single" w:color="404040" w:themeColor="text1" w:themeTint="BF" w:sz="12" w:space="0"/>
        </w:tcBorders>
      </w:tcPr>
    </w:tblStylePr>
    <w:tblStylePr w:type="band1Horz">
      <w:tblPr/>
      <w:tcPr>
        <w:shd w:val="clear" w:color="auto" w:fill="auto"/>
      </w:tcPr>
    </w:tblStylePr>
    <w:tblStylePr w:type="band2Horz">
      <w:tblPr/>
      <w:tcPr>
        <w:shd w:val="clear" w:color="FFFFFF" w:themeColor="background1" w:fill="F2F2F2"/>
      </w:tcPr>
    </w:tblStylePr>
  </w:style>
  <w:style w:type="table" w:styleId="EurolookLightPurple2" w:customStyle="1">
    <w:name w:val="Eurolook Light Purple 2"/>
    <w:basedOn w:val="TableNormal"/>
    <w:semiHidden/>
    <w:unhideWhenUsed/>
    <w:pPr>
      <w:spacing w:after="240"/>
    </w:pPr>
    <w:tblPr>
      <w:tblStyleRowBandSize w:val="1"/>
      <w:tblStyleColBandSize w:val="1"/>
      <w:tblInd w:w="1077" w:type="dxa"/>
      <w:tblBorders>
        <w:top w:val="nil"/>
        <w:left w:val="nil"/>
        <w:bottom w:val="nil"/>
        <w:right w:val="nil"/>
        <w:insideH w:val="single" w:color="C5C7C8" w:sz="6" w:space="0"/>
        <w:insideV w:val="single" w:color="C5C7C8" w:sz="6" w:space="0"/>
      </w:tblBorders>
    </w:tblPr>
    <w:tcPr>
      <w:shd w:val="clear" w:color="auto" w:fill="auto"/>
    </w:tcPr>
    <w:tblStylePr w:type="firstRow">
      <w:rPr>
        <w:b w:val="0"/>
        <w:smallCaps/>
        <w:color w:val="771D7B"/>
      </w:rPr>
      <w:tblPr/>
      <w:tcPr>
        <w:tcBorders>
          <w:bottom w:val="single" w:color="404040" w:themeColor="text1" w:themeTint="BF" w:sz="12" w:space="0"/>
        </w:tcBorders>
        <w:shd w:val="clear" w:color="auto" w:fill="auto"/>
        <w:vAlign w:val="bottom"/>
      </w:tcPr>
    </w:tblStylePr>
    <w:tblStylePr w:type="lastRow">
      <w:rPr>
        <w:b w:val="0"/>
      </w:rPr>
      <w:tblPr/>
      <w:tcPr>
        <w:tcBorders>
          <w:top w:val="single" w:color="404040" w:themeColor="text1" w:themeTint="BF" w:sz="12" w:space="0"/>
        </w:tcBorders>
        <w:shd w:val="clear" w:color="auto" w:fill="auto"/>
      </w:tcPr>
    </w:tblStylePr>
    <w:tblStylePr w:type="firstCol">
      <w:rPr>
        <w:color w:val="000000"/>
      </w:rPr>
      <w:tblPr/>
      <w:tcPr>
        <w:tcBorders>
          <w:right w:val="single" w:color="404040" w:themeColor="text1" w:themeTint="BF" w:sz="12" w:space="0"/>
        </w:tcBorders>
      </w:tcPr>
    </w:tblStylePr>
    <w:tblStylePr w:type="band1Horz">
      <w:tblPr/>
      <w:tcPr>
        <w:shd w:val="clear" w:color="auto" w:fill="auto"/>
      </w:tcPr>
    </w:tblStylePr>
    <w:tblStylePr w:type="band2Horz">
      <w:tblPr/>
      <w:tcPr>
        <w:shd w:val="clear" w:color="FFFFFF" w:themeColor="background1" w:fill="F2F2F2"/>
      </w:tcPr>
    </w:tblStylePr>
  </w:style>
  <w:style w:type="table" w:styleId="EurolookLightPurple3" w:customStyle="1">
    <w:name w:val="Eurolook Light Purple 3"/>
    <w:basedOn w:val="TableNormal"/>
    <w:semiHidden/>
    <w:unhideWhenUsed/>
    <w:pPr>
      <w:spacing w:after="240"/>
    </w:pPr>
    <w:tblPr>
      <w:tblStyleRowBandSize w:val="1"/>
      <w:tblStyleColBandSize w:val="1"/>
      <w:tblInd w:w="1916" w:type="dxa"/>
      <w:tblBorders>
        <w:top w:val="nil"/>
        <w:left w:val="nil"/>
        <w:bottom w:val="nil"/>
        <w:right w:val="nil"/>
        <w:insideH w:val="single" w:color="C5C7C8" w:sz="6" w:space="0"/>
        <w:insideV w:val="single" w:color="C5C7C8" w:sz="6" w:space="0"/>
      </w:tblBorders>
    </w:tblPr>
    <w:tcPr>
      <w:shd w:val="clear" w:color="auto" w:fill="auto"/>
    </w:tcPr>
    <w:tblStylePr w:type="firstRow">
      <w:rPr>
        <w:b w:val="0"/>
        <w:smallCaps/>
        <w:color w:val="771D7B"/>
      </w:rPr>
      <w:tblPr/>
      <w:tcPr>
        <w:tcBorders>
          <w:bottom w:val="single" w:color="404040" w:themeColor="text1" w:themeTint="BF" w:sz="12" w:space="0"/>
        </w:tcBorders>
        <w:shd w:val="clear" w:color="auto" w:fill="auto"/>
        <w:vAlign w:val="bottom"/>
      </w:tcPr>
    </w:tblStylePr>
    <w:tblStylePr w:type="lastRow">
      <w:rPr>
        <w:b w:val="0"/>
      </w:rPr>
      <w:tblPr/>
      <w:tcPr>
        <w:tcBorders>
          <w:top w:val="single" w:color="404040" w:themeColor="text1" w:themeTint="BF" w:sz="12" w:space="0"/>
        </w:tcBorders>
        <w:shd w:val="clear" w:color="auto" w:fill="auto"/>
      </w:tcPr>
    </w:tblStylePr>
    <w:tblStylePr w:type="firstCol">
      <w:rPr>
        <w:color w:val="000000"/>
      </w:rPr>
      <w:tblPr/>
      <w:tcPr>
        <w:tcBorders>
          <w:right w:val="single" w:color="404040" w:themeColor="text1" w:themeTint="BF" w:sz="12" w:space="0"/>
        </w:tcBorders>
      </w:tcPr>
    </w:tblStylePr>
    <w:tblStylePr w:type="band1Horz">
      <w:tblPr/>
      <w:tcPr>
        <w:shd w:val="clear" w:color="auto" w:fill="auto"/>
      </w:tcPr>
    </w:tblStylePr>
    <w:tblStylePr w:type="band2Horz">
      <w:tblPr/>
      <w:tcPr>
        <w:shd w:val="clear" w:color="FFFFFF" w:themeColor="background1" w:fill="F2F2F2"/>
      </w:tcPr>
    </w:tblStylePr>
  </w:style>
  <w:style w:type="table" w:styleId="EurolookLightPurple4" w:customStyle="1">
    <w:name w:val="Eurolook Light Purple 4"/>
    <w:basedOn w:val="TableNormal"/>
    <w:semiHidden/>
    <w:unhideWhenUsed/>
    <w:pPr>
      <w:spacing w:after="240"/>
    </w:pPr>
    <w:tblPr>
      <w:tblStyleRowBandSize w:val="1"/>
      <w:tblStyleColBandSize w:val="1"/>
      <w:tblInd w:w="2880" w:type="dxa"/>
      <w:tblBorders>
        <w:top w:val="nil"/>
        <w:left w:val="nil"/>
        <w:bottom w:val="nil"/>
        <w:right w:val="nil"/>
        <w:insideH w:val="single" w:color="C5C7C8" w:sz="6" w:space="0"/>
        <w:insideV w:val="single" w:color="C5C7C8" w:sz="6" w:space="0"/>
      </w:tblBorders>
    </w:tblPr>
    <w:tcPr>
      <w:shd w:val="clear" w:color="auto" w:fill="auto"/>
    </w:tcPr>
    <w:tblStylePr w:type="firstRow">
      <w:rPr>
        <w:b w:val="0"/>
        <w:smallCaps/>
        <w:color w:val="771D7B"/>
      </w:rPr>
      <w:tblPr/>
      <w:tcPr>
        <w:tcBorders>
          <w:bottom w:val="single" w:color="404040" w:themeColor="text1" w:themeTint="BF" w:sz="12" w:space="0"/>
        </w:tcBorders>
        <w:shd w:val="clear" w:color="auto" w:fill="auto"/>
        <w:vAlign w:val="bottom"/>
      </w:tcPr>
    </w:tblStylePr>
    <w:tblStylePr w:type="lastRow">
      <w:rPr>
        <w:b w:val="0"/>
      </w:rPr>
      <w:tblPr/>
      <w:tcPr>
        <w:tcBorders>
          <w:top w:val="single" w:color="404040" w:themeColor="text1" w:themeTint="BF" w:sz="12" w:space="0"/>
        </w:tcBorders>
        <w:shd w:val="clear" w:color="auto" w:fill="auto"/>
      </w:tcPr>
    </w:tblStylePr>
    <w:tblStylePr w:type="firstCol">
      <w:rPr>
        <w:color w:val="000000"/>
      </w:rPr>
      <w:tblPr/>
      <w:tcPr>
        <w:tcBorders>
          <w:right w:val="single" w:color="404040" w:themeColor="text1" w:themeTint="BF" w:sz="12" w:space="0"/>
        </w:tcBorders>
      </w:tcPr>
    </w:tblStylePr>
    <w:tblStylePr w:type="band1Horz">
      <w:tblPr/>
      <w:tcPr>
        <w:shd w:val="clear" w:color="auto" w:fill="auto"/>
      </w:tcPr>
    </w:tblStylePr>
    <w:tblStylePr w:type="band2Horz">
      <w:tblPr/>
      <w:tcPr>
        <w:shd w:val="clear" w:color="FFFFFF" w:themeColor="background1" w:fill="F2F2F2"/>
      </w:tcPr>
    </w:tblStylePr>
  </w:style>
  <w:style w:type="table" w:styleId="EurolookLightRust" w:customStyle="1">
    <w:name w:val="Eurolook Light Rust"/>
    <w:basedOn w:val="TableNormal"/>
    <w:pPr>
      <w:spacing w:after="240"/>
    </w:pPr>
    <w:tblPr>
      <w:tblStyleRowBandSize w:val="1"/>
      <w:tblStyleColBandSize w:val="1"/>
      <w:tblBorders>
        <w:top w:val="nil"/>
        <w:left w:val="nil"/>
        <w:bottom w:val="nil"/>
        <w:right w:val="nil"/>
        <w:insideH w:val="single" w:color="C5C7C8" w:sz="6" w:space="0"/>
        <w:insideV w:val="single" w:color="C5C7C8" w:sz="6" w:space="0"/>
      </w:tblBorders>
    </w:tblPr>
    <w:tcPr>
      <w:shd w:val="clear" w:color="auto" w:fill="auto"/>
    </w:tcPr>
    <w:tblStylePr w:type="firstRow">
      <w:rPr>
        <w:b w:val="0"/>
        <w:smallCaps/>
        <w:color w:val="BF4B36"/>
      </w:rPr>
      <w:tblPr/>
      <w:tcPr>
        <w:tcBorders>
          <w:bottom w:val="single" w:color="404040" w:themeColor="text1" w:themeTint="BF" w:sz="12" w:space="0"/>
        </w:tcBorders>
        <w:shd w:val="clear" w:color="auto" w:fill="auto"/>
        <w:vAlign w:val="bottom"/>
      </w:tcPr>
    </w:tblStylePr>
    <w:tblStylePr w:type="lastRow">
      <w:rPr>
        <w:b w:val="0"/>
      </w:rPr>
      <w:tblPr/>
      <w:tcPr>
        <w:tcBorders>
          <w:top w:val="single" w:color="404040" w:themeColor="text1" w:themeTint="BF" w:sz="12" w:space="0"/>
        </w:tcBorders>
        <w:shd w:val="clear" w:color="auto" w:fill="auto"/>
      </w:tcPr>
    </w:tblStylePr>
    <w:tblStylePr w:type="firstCol">
      <w:rPr>
        <w:color w:val="000000"/>
      </w:rPr>
      <w:tblPr/>
      <w:tcPr>
        <w:tcBorders>
          <w:right w:val="single" w:color="404040" w:themeColor="text1" w:themeTint="BF" w:sz="12" w:space="0"/>
        </w:tcBorders>
      </w:tcPr>
    </w:tblStylePr>
    <w:tblStylePr w:type="band1Horz">
      <w:tblPr/>
      <w:tcPr>
        <w:shd w:val="clear" w:color="auto" w:fill="auto"/>
      </w:tcPr>
    </w:tblStylePr>
    <w:tblStylePr w:type="band2Horz">
      <w:tblPr/>
      <w:tcPr>
        <w:shd w:val="clear" w:color="FFFFFF" w:themeColor="background1" w:fill="F2F2F2"/>
      </w:tcPr>
    </w:tblStylePr>
  </w:style>
  <w:style w:type="table" w:styleId="EurolookLightRust1" w:customStyle="1">
    <w:name w:val="Eurolook Light Rust 1"/>
    <w:basedOn w:val="TableNormal"/>
    <w:semiHidden/>
    <w:unhideWhenUsed/>
    <w:pPr>
      <w:spacing w:after="240"/>
    </w:pPr>
    <w:tblPr>
      <w:tblStyleRowBandSize w:val="1"/>
      <w:tblStyleColBandSize w:val="1"/>
      <w:tblInd w:w="482" w:type="dxa"/>
      <w:tblBorders>
        <w:top w:val="nil"/>
        <w:left w:val="nil"/>
        <w:bottom w:val="nil"/>
        <w:right w:val="nil"/>
        <w:insideH w:val="single" w:color="C5C7C8" w:sz="6" w:space="0"/>
        <w:insideV w:val="single" w:color="C5C7C8" w:sz="6" w:space="0"/>
      </w:tblBorders>
    </w:tblPr>
    <w:tcPr>
      <w:shd w:val="clear" w:color="auto" w:fill="auto"/>
    </w:tcPr>
    <w:tblStylePr w:type="firstRow">
      <w:rPr>
        <w:b w:val="0"/>
        <w:smallCaps/>
        <w:color w:val="BF4B36"/>
      </w:rPr>
      <w:tblPr/>
      <w:tcPr>
        <w:tcBorders>
          <w:bottom w:val="single" w:color="404040" w:themeColor="text1" w:themeTint="BF" w:sz="12" w:space="0"/>
        </w:tcBorders>
        <w:shd w:val="clear" w:color="auto" w:fill="auto"/>
        <w:vAlign w:val="bottom"/>
      </w:tcPr>
    </w:tblStylePr>
    <w:tblStylePr w:type="lastRow">
      <w:rPr>
        <w:b w:val="0"/>
      </w:rPr>
      <w:tblPr/>
      <w:tcPr>
        <w:tcBorders>
          <w:top w:val="single" w:color="404040" w:themeColor="text1" w:themeTint="BF" w:sz="12" w:space="0"/>
        </w:tcBorders>
        <w:shd w:val="clear" w:color="auto" w:fill="auto"/>
      </w:tcPr>
    </w:tblStylePr>
    <w:tblStylePr w:type="firstCol">
      <w:rPr>
        <w:color w:val="000000"/>
      </w:rPr>
      <w:tblPr/>
      <w:tcPr>
        <w:tcBorders>
          <w:right w:val="single" w:color="404040" w:themeColor="text1" w:themeTint="BF" w:sz="12" w:space="0"/>
        </w:tcBorders>
      </w:tcPr>
    </w:tblStylePr>
    <w:tblStylePr w:type="band1Horz">
      <w:tblPr/>
      <w:tcPr>
        <w:shd w:val="clear" w:color="auto" w:fill="auto"/>
      </w:tcPr>
    </w:tblStylePr>
    <w:tblStylePr w:type="band2Horz">
      <w:tblPr/>
      <w:tcPr>
        <w:shd w:val="clear" w:color="FFFFFF" w:themeColor="background1" w:fill="F2F2F2"/>
      </w:tcPr>
    </w:tblStylePr>
  </w:style>
  <w:style w:type="table" w:styleId="EurolookLightRust2" w:customStyle="1">
    <w:name w:val="Eurolook Light Rust 2"/>
    <w:basedOn w:val="TableNormal"/>
    <w:semiHidden/>
    <w:unhideWhenUsed/>
    <w:pPr>
      <w:spacing w:after="240"/>
    </w:pPr>
    <w:tblPr>
      <w:tblStyleRowBandSize w:val="1"/>
      <w:tblStyleColBandSize w:val="1"/>
      <w:tblInd w:w="1077" w:type="dxa"/>
      <w:tblBorders>
        <w:top w:val="nil"/>
        <w:left w:val="nil"/>
        <w:bottom w:val="nil"/>
        <w:right w:val="nil"/>
        <w:insideH w:val="single" w:color="C5C7C8" w:sz="6" w:space="0"/>
        <w:insideV w:val="single" w:color="C5C7C8" w:sz="6" w:space="0"/>
      </w:tblBorders>
    </w:tblPr>
    <w:tcPr>
      <w:shd w:val="clear" w:color="auto" w:fill="auto"/>
    </w:tcPr>
    <w:tblStylePr w:type="firstRow">
      <w:rPr>
        <w:b w:val="0"/>
        <w:smallCaps/>
        <w:color w:val="BF4B36"/>
      </w:rPr>
      <w:tblPr/>
      <w:tcPr>
        <w:tcBorders>
          <w:bottom w:val="single" w:color="404040" w:themeColor="text1" w:themeTint="BF" w:sz="12" w:space="0"/>
        </w:tcBorders>
        <w:shd w:val="clear" w:color="auto" w:fill="auto"/>
        <w:vAlign w:val="bottom"/>
      </w:tcPr>
    </w:tblStylePr>
    <w:tblStylePr w:type="lastRow">
      <w:rPr>
        <w:b w:val="0"/>
      </w:rPr>
      <w:tblPr/>
      <w:tcPr>
        <w:tcBorders>
          <w:top w:val="single" w:color="404040" w:themeColor="text1" w:themeTint="BF" w:sz="12" w:space="0"/>
        </w:tcBorders>
        <w:shd w:val="clear" w:color="auto" w:fill="auto"/>
      </w:tcPr>
    </w:tblStylePr>
    <w:tblStylePr w:type="firstCol">
      <w:rPr>
        <w:color w:val="000000"/>
      </w:rPr>
      <w:tblPr/>
      <w:tcPr>
        <w:tcBorders>
          <w:right w:val="single" w:color="404040" w:themeColor="text1" w:themeTint="BF" w:sz="12" w:space="0"/>
        </w:tcBorders>
      </w:tcPr>
    </w:tblStylePr>
    <w:tblStylePr w:type="band1Horz">
      <w:tblPr/>
      <w:tcPr>
        <w:shd w:val="clear" w:color="auto" w:fill="auto"/>
      </w:tcPr>
    </w:tblStylePr>
    <w:tblStylePr w:type="band2Horz">
      <w:tblPr/>
      <w:tcPr>
        <w:shd w:val="clear" w:color="FFFFFF" w:themeColor="background1" w:fill="F2F2F2"/>
      </w:tcPr>
    </w:tblStylePr>
  </w:style>
  <w:style w:type="table" w:styleId="EurolookLightRust3" w:customStyle="1">
    <w:name w:val="Eurolook Light Rust 3"/>
    <w:basedOn w:val="TableNormal"/>
    <w:semiHidden/>
    <w:unhideWhenUsed/>
    <w:pPr>
      <w:spacing w:after="240"/>
    </w:pPr>
    <w:tblPr>
      <w:tblStyleRowBandSize w:val="1"/>
      <w:tblStyleColBandSize w:val="1"/>
      <w:tblInd w:w="1916" w:type="dxa"/>
      <w:tblBorders>
        <w:top w:val="nil"/>
        <w:left w:val="nil"/>
        <w:bottom w:val="nil"/>
        <w:right w:val="nil"/>
        <w:insideH w:val="single" w:color="C5C7C8" w:sz="6" w:space="0"/>
        <w:insideV w:val="single" w:color="C5C7C8" w:sz="6" w:space="0"/>
      </w:tblBorders>
    </w:tblPr>
    <w:tcPr>
      <w:shd w:val="clear" w:color="auto" w:fill="auto"/>
    </w:tcPr>
    <w:tblStylePr w:type="firstRow">
      <w:rPr>
        <w:b w:val="0"/>
        <w:smallCaps/>
        <w:color w:val="BF4B36"/>
      </w:rPr>
      <w:tblPr/>
      <w:tcPr>
        <w:tcBorders>
          <w:bottom w:val="single" w:color="404040" w:themeColor="text1" w:themeTint="BF" w:sz="12" w:space="0"/>
        </w:tcBorders>
        <w:shd w:val="clear" w:color="auto" w:fill="auto"/>
        <w:vAlign w:val="bottom"/>
      </w:tcPr>
    </w:tblStylePr>
    <w:tblStylePr w:type="lastRow">
      <w:rPr>
        <w:b w:val="0"/>
      </w:rPr>
      <w:tblPr/>
      <w:tcPr>
        <w:tcBorders>
          <w:top w:val="single" w:color="404040" w:themeColor="text1" w:themeTint="BF" w:sz="12" w:space="0"/>
        </w:tcBorders>
        <w:shd w:val="clear" w:color="auto" w:fill="auto"/>
      </w:tcPr>
    </w:tblStylePr>
    <w:tblStylePr w:type="firstCol">
      <w:rPr>
        <w:color w:val="000000"/>
      </w:rPr>
      <w:tblPr/>
      <w:tcPr>
        <w:tcBorders>
          <w:right w:val="single" w:color="404040" w:themeColor="text1" w:themeTint="BF" w:sz="12" w:space="0"/>
        </w:tcBorders>
      </w:tcPr>
    </w:tblStylePr>
    <w:tblStylePr w:type="band1Horz">
      <w:tblPr/>
      <w:tcPr>
        <w:shd w:val="clear" w:color="auto" w:fill="auto"/>
      </w:tcPr>
    </w:tblStylePr>
    <w:tblStylePr w:type="band2Horz">
      <w:tblPr/>
      <w:tcPr>
        <w:shd w:val="clear" w:color="FFFFFF" w:themeColor="background1" w:fill="F2F2F2"/>
      </w:tcPr>
    </w:tblStylePr>
  </w:style>
  <w:style w:type="table" w:styleId="EurolookLightRust4" w:customStyle="1">
    <w:name w:val="Eurolook Light Rust 4"/>
    <w:basedOn w:val="TableNormal"/>
    <w:semiHidden/>
    <w:unhideWhenUsed/>
    <w:pPr>
      <w:spacing w:after="240"/>
    </w:pPr>
    <w:tblPr>
      <w:tblStyleRowBandSize w:val="1"/>
      <w:tblStyleColBandSize w:val="1"/>
      <w:tblInd w:w="2880" w:type="dxa"/>
      <w:tblBorders>
        <w:top w:val="nil"/>
        <w:left w:val="nil"/>
        <w:bottom w:val="nil"/>
        <w:right w:val="nil"/>
        <w:insideH w:val="single" w:color="C5C7C8" w:sz="6" w:space="0"/>
        <w:insideV w:val="single" w:color="C5C7C8" w:sz="6" w:space="0"/>
      </w:tblBorders>
    </w:tblPr>
    <w:tcPr>
      <w:shd w:val="clear" w:color="auto" w:fill="auto"/>
    </w:tcPr>
    <w:tblStylePr w:type="firstRow">
      <w:rPr>
        <w:b w:val="0"/>
        <w:smallCaps/>
        <w:color w:val="BF4B36"/>
      </w:rPr>
      <w:tblPr/>
      <w:tcPr>
        <w:tcBorders>
          <w:bottom w:val="single" w:color="404040" w:themeColor="text1" w:themeTint="BF" w:sz="12" w:space="0"/>
        </w:tcBorders>
        <w:shd w:val="clear" w:color="auto" w:fill="auto"/>
        <w:vAlign w:val="bottom"/>
      </w:tcPr>
    </w:tblStylePr>
    <w:tblStylePr w:type="lastRow">
      <w:rPr>
        <w:b w:val="0"/>
      </w:rPr>
      <w:tblPr/>
      <w:tcPr>
        <w:tcBorders>
          <w:top w:val="single" w:color="404040" w:themeColor="text1" w:themeTint="BF" w:sz="12" w:space="0"/>
        </w:tcBorders>
        <w:shd w:val="clear" w:color="auto" w:fill="auto"/>
      </w:tcPr>
    </w:tblStylePr>
    <w:tblStylePr w:type="firstCol">
      <w:rPr>
        <w:color w:val="000000"/>
      </w:rPr>
      <w:tblPr/>
      <w:tcPr>
        <w:tcBorders>
          <w:right w:val="single" w:color="404040" w:themeColor="text1" w:themeTint="BF" w:sz="12" w:space="0"/>
        </w:tcBorders>
      </w:tcPr>
    </w:tblStylePr>
    <w:tblStylePr w:type="band1Horz">
      <w:tblPr/>
      <w:tcPr>
        <w:shd w:val="clear" w:color="auto" w:fill="auto"/>
      </w:tcPr>
    </w:tblStylePr>
    <w:tblStylePr w:type="band2Horz">
      <w:tblPr/>
      <w:tcPr>
        <w:shd w:val="clear" w:color="FFFFFF" w:themeColor="background1" w:fill="F2F2F2"/>
      </w:tcPr>
    </w:tblStylePr>
  </w:style>
  <w:style w:type="table" w:styleId="EurolookTable" w:customStyle="1">
    <w:name w:val="Eurolook Table"/>
    <w:semiHidden/>
    <w:unhideWhenUsed/>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blStylePr w:type="firstRow">
      <w:rPr>
        <w:b/>
      </w:rPr>
      <w:tblPr/>
      <w:trPr>
        <w:cantSplit/>
        <w:tblHeader/>
      </w:trPr>
    </w:tblStylePr>
  </w:style>
  <w:style w:type="table" w:styleId="EurolookTable1" w:customStyle="1">
    <w:name w:val="Eurolook Table 1"/>
    <w:basedOn w:val="EurolookTable"/>
    <w:semiHidden/>
    <w:unhideWhenUsed/>
    <w:tblPr>
      <w:tblInd w:w="482" w:type="dxa"/>
    </w:tblPr>
    <w:tblStylePr w:type="firstRow">
      <w:rPr>
        <w:b/>
      </w:rPr>
      <w:tblPr/>
      <w:trPr>
        <w:cantSplit/>
        <w:tblHeader/>
      </w:trPr>
    </w:tblStylePr>
  </w:style>
  <w:style w:type="table" w:styleId="EurolookTable2" w:customStyle="1">
    <w:name w:val="Eurolook Table 2"/>
    <w:basedOn w:val="EurolookTable"/>
    <w:semiHidden/>
    <w:unhideWhenUsed/>
    <w:tblPr>
      <w:tblInd w:w="1077" w:type="dxa"/>
    </w:tblPr>
    <w:tblStylePr w:type="firstRow">
      <w:rPr>
        <w:b/>
      </w:rPr>
      <w:tblPr/>
      <w:trPr>
        <w:cantSplit/>
        <w:tblHeader/>
      </w:trPr>
    </w:tblStylePr>
  </w:style>
  <w:style w:type="table" w:styleId="EurolookTable3" w:customStyle="1">
    <w:name w:val="Eurolook Table 3"/>
    <w:basedOn w:val="EurolookTable"/>
    <w:semiHidden/>
    <w:unhideWhenUsed/>
    <w:tblPr>
      <w:tblInd w:w="1916" w:type="dxa"/>
    </w:tblPr>
    <w:tblStylePr w:type="firstRow">
      <w:rPr>
        <w:b/>
      </w:rPr>
      <w:tblPr/>
      <w:trPr>
        <w:cantSplit/>
        <w:tblHeader/>
      </w:trPr>
    </w:tblStylePr>
  </w:style>
  <w:style w:type="table" w:styleId="EurolookTable4" w:customStyle="1">
    <w:name w:val="Eurolook Table 4"/>
    <w:basedOn w:val="EurolookTable"/>
    <w:semiHidden/>
    <w:unhideWhenUsed/>
    <w:tblPr>
      <w:tblInd w:w="2880" w:type="dxa"/>
    </w:tblPr>
    <w:tblStylePr w:type="firstRow">
      <w:rPr>
        <w:b/>
      </w:rPr>
      <w:tblPr/>
      <w:trPr>
        <w:cantSplit/>
        <w:tblHeader/>
      </w:trPr>
    </w:tblStylePr>
  </w:style>
  <w:style w:type="table" w:styleId="HelperTableBase" w:customStyle="1">
    <w:name w:val="Helper Table Base"/>
    <w:semiHidden/>
    <w:tblPr>
      <w:tblInd w:w="0" w:type="dxa"/>
      <w:tblCellMar>
        <w:top w:w="0" w:type="dxa"/>
        <w:left w:w="0" w:type="dxa"/>
        <w:bottom w:w="0" w:type="dxa"/>
        <w:right w:w="0" w:type="dxa"/>
      </w:tblCellMar>
    </w:tblPr>
  </w:style>
  <w:style w:type="table" w:styleId="NoteTable" w:customStyle="1">
    <w:name w:val="Note Table"/>
    <w:basedOn w:val="HelperTableBase"/>
    <w:semiHidden/>
    <w:tblPr>
      <w:tblCellMar>
        <w:left w:w="108" w:type="dxa"/>
        <w:right w:w="108" w:type="dxa"/>
      </w:tblCellMar>
    </w:tblPr>
  </w:style>
  <w:style w:type="table" w:styleId="SignatureTable" w:customStyle="1">
    <w:name w:val="Signature Table"/>
    <w:basedOn w:val="HelperTableBase"/>
    <w:semiHidden/>
    <w:tblPr/>
  </w:style>
  <w:style w:type="table" w:styleId="TableGrid">
    <w:name w:val="Table Grid"/>
    <w:uiPriority w:val="59"/>
    <w:tblPr>
      <w:tblStyleRowBandSize w:val="1"/>
      <w:tblStyleColBandSize w:val="1"/>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style>
  <w:style w:type="table" w:styleId="TableLetterhead" w:customStyle="1">
    <w:name w:val="Table Letterhead"/>
    <w:basedOn w:val="TableNormal"/>
    <w:semiHidden/>
    <w:tblPr>
      <w:tblCellMar>
        <w:left w:w="0" w:type="dxa"/>
        <w:bottom w:w="340" w:type="dxa"/>
        <w:right w:w="0" w:type="dxa"/>
      </w:tblCellMar>
    </w:tblPr>
  </w:style>
  <w:style w:type="character" w:styleId="Hyperlink">
    <w:name w:val="Hyperlink"/>
    <w:basedOn w:val="DefaultParagraphFont"/>
    <w:uiPriority w:val="99"/>
    <w:unhideWhenUsed/>
    <w:locked/>
    <w:rsid w:val="00E21DBD"/>
    <w:rPr>
      <w:color w:val="0563C1" w:themeColor="hyperlink"/>
      <w:u w:val="single"/>
    </w:rPr>
  </w:style>
  <w:style w:type="paragraph" w:styleId="ListParagraph">
    <w:name w:val="List Paragraph"/>
    <w:basedOn w:val="Normal"/>
    <w:uiPriority w:val="34"/>
    <w:qFormat/>
    <w:locked/>
    <w:rsid w:val="00E21DBD"/>
    <w:pPr>
      <w:spacing w:after="200" w:line="276" w:lineRule="auto"/>
      <w:ind w:left="720"/>
      <w:contextualSpacing/>
      <w:jc w:val="left"/>
    </w:pPr>
    <w:rPr>
      <w:rFonts w:asciiTheme="minorHAnsi" w:hAnsiTheme="minorHAnsi" w:eastAsiaTheme="minorHAnsi" w:cstheme="minorBidi"/>
      <w:sz w:val="22"/>
      <w:szCs w:val="22"/>
      <w:lang w:val="fr-BE" w:eastAsia="en-US"/>
    </w:rPr>
  </w:style>
  <w:style w:type="paragraph" w:styleId="Default" w:customStyle="1">
    <w:name w:val="Default"/>
    <w:rsid w:val="00C75BA4"/>
    <w:pPr>
      <w:autoSpaceDE w:val="0"/>
      <w:autoSpaceDN w:val="0"/>
      <w:adjustRightInd w:val="0"/>
    </w:pPr>
    <w:rPr>
      <w:color w:val="000000"/>
      <w:szCs w:val="24"/>
      <w:lang w:val="en-IE"/>
    </w:rPr>
  </w:style>
  <w:style w:type="character" w:styleId="FootnoteReference">
    <w:name w:val="footnote reference"/>
    <w:basedOn w:val="DefaultParagraphFont"/>
    <w:semiHidden/>
    <w:locked/>
    <w:rsid w:val="00C75BA4"/>
    <w:rPr>
      <w:vertAlign w:val="superscript"/>
    </w:rPr>
  </w:style>
  <w:style w:type="character" w:styleId="FollowedHyperlink">
    <w:name w:val="FollowedHyperlink"/>
    <w:basedOn w:val="DefaultParagraphFont"/>
    <w:semiHidden/>
    <w:locked/>
    <w:rsid w:val="00CB5B61"/>
    <w:rPr>
      <w:color w:val="954F72" w:themeColor="followedHyperlink"/>
      <w:u w:val="single"/>
    </w:rPr>
  </w:style>
  <w:style w:type="paragraph" w:styleId="Revision">
    <w:name w:val="Revision"/>
    <w:hidden/>
    <w:semiHidden/>
    <w:locked/>
    <w:rsid w:val="00E27A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europass.cedefop.europa.eu/en/documents/curriculum-vitae" TargetMode="Externa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customXml" Target="../customXml/item6.xml" Id="rId21" /><Relationship Type="http://schemas.openxmlformats.org/officeDocument/2006/relationships/settings" Target="settings.xml" Id="rId7" /><Relationship Type="http://schemas.openxmlformats.org/officeDocument/2006/relationships/hyperlink" Target="https://eur-lex.europa.eu/legal-content/EN/TXT/?uri=CELEX:32015D0444" TargetMode="Externa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customXml" Target="../customXml/item5.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footer" Target="footer1.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europa.eu/europass/en/create-europass-cv" TargetMode="External" Id="rId14" /><Relationship Type="http://schemas.openxmlformats.org/officeDocument/2006/relationships/customXml" Target="../customXml/item7.xml" Id="rId22" /></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IaLOGIKa\Eurolook\Templates\Eurolook.dot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6129DB96-64EB-425D-8D6A-C7F90EB17AB6}"/>
      </w:docPartPr>
      <w:docPartBody>
        <w:p w:rsidR="007F7378" w:rsidRDefault="00ED10DB">
          <w:r w:rsidRPr="00BD2312">
            <w:rPr>
              <w:rStyle w:val="PlaceholderText"/>
            </w:rPr>
            <w:t>Click or tap here to enter text.</w:t>
          </w:r>
        </w:p>
      </w:docPartBody>
    </w:docPart>
    <w:docPart>
      <w:docPartPr>
        <w:name w:val="722A130BB2FD42CB99AF58537814D26D"/>
        <w:category>
          <w:name w:val="General"/>
          <w:gallery w:val="placeholder"/>
        </w:category>
        <w:types>
          <w:type w:val="bbPlcHdr"/>
        </w:types>
        <w:behaviors>
          <w:behavior w:val="content"/>
        </w:behaviors>
        <w:guid w:val="{C43F40DD-A8AE-4CF3-B04E-EDC5E45D00F8}"/>
      </w:docPartPr>
      <w:docPartBody>
        <w:p w:rsidR="007F7378" w:rsidP="00ED10DB" w:rsidRDefault="00ED10DB">
          <w:pPr>
            <w:pStyle w:val="722A130BB2FD42CB99AF58537814D26D2"/>
          </w:pPr>
          <w:r w:rsidRPr="00111AB6">
            <w:rPr>
              <w:rStyle w:val="PlaceholderText"/>
            </w:rPr>
            <w:t>Click or tap here to enter text.</w:t>
          </w:r>
        </w:p>
      </w:docPartBody>
    </w:docPart>
    <w:docPart>
      <w:docPartPr>
        <w:name w:val="E4139A8A81AD41B0A456F71CC855670B"/>
        <w:category>
          <w:name w:val="General"/>
          <w:gallery w:val="placeholder"/>
        </w:category>
        <w:types>
          <w:type w:val="bbPlcHdr"/>
        </w:types>
        <w:behaviors>
          <w:behavior w:val="content"/>
        </w:behaviors>
        <w:guid w:val="{364F6E2C-C559-48F4-9FBC-2A2D3A7A1540}"/>
      </w:docPartPr>
      <w:docPartBody>
        <w:p w:rsidR="007F7378" w:rsidP="00ED10DB" w:rsidRDefault="00ED10DB">
          <w:pPr>
            <w:pStyle w:val="E4139A8A81AD41B0A456F71CC855670B2"/>
          </w:pPr>
          <w:r w:rsidRPr="00111AB6">
            <w:rPr>
              <w:rStyle w:val="PlaceholderText"/>
            </w:rPr>
            <w:t>Click or tap here to enter text.</w:t>
          </w:r>
        </w:p>
      </w:docPartBody>
    </w:docPart>
    <w:docPart>
      <w:docPartPr>
        <w:name w:val="2CBB2A0B72674470B30B3225F78306DD"/>
        <w:category>
          <w:name w:val="General"/>
          <w:gallery w:val="placeholder"/>
        </w:category>
        <w:types>
          <w:type w:val="bbPlcHdr"/>
        </w:types>
        <w:behaviors>
          <w:behavior w:val="content"/>
        </w:behaviors>
        <w:guid w:val="{629BB0DB-2B70-4E3E-97E1-897C5ABFF704}"/>
      </w:docPartPr>
      <w:docPartBody>
        <w:p w:rsidR="007F7378" w:rsidP="00ED10DB" w:rsidRDefault="00ED10DB">
          <w:pPr>
            <w:pStyle w:val="2CBB2A0B72674470B30B3225F78306DD1"/>
          </w:pPr>
          <w:r>
            <w:rPr>
              <w:rStyle w:val="PlaceholderText"/>
            </w:rPr>
            <w:t xml:space="preserve">     </w:t>
          </w:r>
        </w:p>
      </w:docPartBody>
    </w:docPart>
    <w:docPart>
      <w:docPartPr>
        <w:name w:val="D6B275DB24F84EFBB866B5C9055058FF"/>
        <w:category>
          <w:name w:val="General"/>
          <w:gallery w:val="placeholder"/>
        </w:category>
        <w:types>
          <w:type w:val="bbPlcHdr"/>
        </w:types>
        <w:behaviors>
          <w:behavior w:val="content"/>
        </w:behaviors>
        <w:guid w:val="{CAC25143-263C-46BB-8B1B-4FBF7F6208BC}"/>
      </w:docPartPr>
      <w:docPartBody>
        <w:p w:rsidR="007F7378" w:rsidP="00ED10DB" w:rsidRDefault="00ED10DB">
          <w:pPr>
            <w:pStyle w:val="D6B275DB24F84EFBB866B5C9055058FF1"/>
          </w:pPr>
          <w:r>
            <w:rPr>
              <w:rStyle w:val="PlaceholderText"/>
            </w:rPr>
            <w:t xml:space="preserve">    </w:t>
          </w:r>
        </w:p>
      </w:docPartBody>
    </w:docPart>
    <w:docPart>
      <w:docPartPr>
        <w:name w:val="A1D7C4E93E5D41968C9784C962AACA55"/>
        <w:category>
          <w:name w:val="General"/>
          <w:gallery w:val="placeholder"/>
        </w:category>
        <w:types>
          <w:type w:val="bbPlcHdr"/>
        </w:types>
        <w:behaviors>
          <w:behavior w:val="content"/>
        </w:behaviors>
        <w:guid w:val="{E1D37A03-DF36-4598-A3E8-B660CC9DC44B}"/>
      </w:docPartPr>
      <w:docPartBody>
        <w:p w:rsidR="007F7378" w:rsidP="00ED10DB" w:rsidRDefault="00ED10DB">
          <w:pPr>
            <w:pStyle w:val="A1D7C4E93E5D41968C9784C962AACA551"/>
          </w:pPr>
          <w:r w:rsidRPr="00BD2312">
            <w:rPr>
              <w:rStyle w:val="PlaceholderText"/>
            </w:rPr>
            <w:t>Click or tap here to enter text.</w:t>
          </w:r>
        </w:p>
      </w:docPartBody>
    </w:docPart>
    <w:docPart>
      <w:docPartPr>
        <w:name w:val="84FB87486BC94E5EB76E972E1BD8265B"/>
        <w:category>
          <w:name w:val="General"/>
          <w:gallery w:val="placeholder"/>
        </w:category>
        <w:types>
          <w:type w:val="bbPlcHdr"/>
        </w:types>
        <w:behaviors>
          <w:behavior w:val="content"/>
        </w:behaviors>
        <w:guid w:val="{306E4427-9C3C-4B42-B3D9-E60DDED406DA}"/>
      </w:docPartPr>
      <w:docPartBody>
        <w:p w:rsidR="007F7378" w:rsidP="00ED10DB" w:rsidRDefault="00ED10DB">
          <w:pPr>
            <w:pStyle w:val="84FB87486BC94E5EB76E972E1BD8265B1"/>
          </w:pPr>
          <w:r w:rsidRPr="00BD2312">
            <w:rPr>
              <w:rStyle w:val="PlaceholderText"/>
            </w:rPr>
            <w:t>Click or tap here to enter text.</w:t>
          </w:r>
        </w:p>
      </w:docPartBody>
    </w:docPart>
    <w:docPart>
      <w:docPartPr>
        <w:name w:val="477E34A225354857B4B5D36D9CA8A6AA"/>
        <w:category>
          <w:name w:val="General"/>
          <w:gallery w:val="placeholder"/>
        </w:category>
        <w:types>
          <w:type w:val="bbPlcHdr"/>
        </w:types>
        <w:behaviors>
          <w:behavior w:val="content"/>
        </w:behaviors>
        <w:guid w:val="{7C7BB997-7DD3-429F-B405-BA8188CFEC0A}"/>
      </w:docPartPr>
      <w:docPartBody>
        <w:p w:rsidR="007F7378" w:rsidP="00ED10DB" w:rsidRDefault="00ED10DB">
          <w:pPr>
            <w:pStyle w:val="477E34A225354857B4B5D36D9CA8A6AA1"/>
          </w:pPr>
          <w:r w:rsidRPr="00BD2312">
            <w:rPr>
              <w:rStyle w:val="PlaceholderText"/>
            </w:rPr>
            <w:t>Click or tap here to enter text.</w:t>
          </w:r>
        </w:p>
      </w:docPartBody>
    </w:docPart>
    <w:docPart>
      <w:docPartPr>
        <w:name w:val="70AAD37E9A1F4B5EA5C1270588299908"/>
        <w:category>
          <w:name w:val="General"/>
          <w:gallery w:val="placeholder"/>
        </w:category>
        <w:types>
          <w:type w:val="bbPlcHdr"/>
        </w:types>
        <w:behaviors>
          <w:behavior w:val="content"/>
        </w:behaviors>
        <w:guid w:val="{43F86A3A-74E9-4166-9CEE-CE1C695BEC43}"/>
      </w:docPartPr>
      <w:docPartBody>
        <w:p w:rsidR="00D374C1" w:rsidP="00894A0C" w:rsidRDefault="00894A0C">
          <w:pPr>
            <w:pStyle w:val="70AAD37E9A1F4B5EA5C1270588299908"/>
          </w:pPr>
          <w:r w:rsidRPr="00111AB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00725"/>
    <w:multiLevelType w:val="multilevel"/>
    <w:tmpl w:val="6E5C19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49317708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0DB"/>
    <w:rsid w:val="007F7378"/>
    <w:rsid w:val="00894A0C"/>
    <w:rsid w:val="00AF50E7"/>
    <w:rsid w:val="00CE0C16"/>
    <w:rsid w:val="00D374C1"/>
    <w:rsid w:val="00ED10DB"/>
    <w:rsid w:val="00F30C99"/>
    <w:rsid w:val="00FC102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894A0C"/>
    <w:rPr>
      <w:color w:val="288061"/>
    </w:rPr>
  </w:style>
  <w:style w:type="paragraph" w:customStyle="1" w:styleId="722A130BB2FD42CB99AF58537814D26D2">
    <w:name w:val="722A130BB2FD42CB99AF58537814D26D2"/>
    <w:rsid w:val="00ED10DB"/>
    <w:pPr>
      <w:spacing w:after="240" w:line="240" w:lineRule="auto"/>
      <w:jc w:val="both"/>
    </w:pPr>
    <w:rPr>
      <w:rFonts w:ascii="Times New Roman" w:eastAsia="Times New Roman" w:hAnsi="Times New Roman" w:cs="Times New Roman"/>
      <w:sz w:val="24"/>
      <w:szCs w:val="20"/>
      <w:lang w:val="en-GB"/>
    </w:rPr>
  </w:style>
  <w:style w:type="paragraph" w:customStyle="1" w:styleId="E4139A8A81AD41B0A456F71CC855670B2">
    <w:name w:val="E4139A8A81AD41B0A456F71CC855670B2"/>
    <w:rsid w:val="00ED10DB"/>
    <w:pPr>
      <w:spacing w:after="240" w:line="240" w:lineRule="auto"/>
      <w:jc w:val="both"/>
    </w:pPr>
    <w:rPr>
      <w:rFonts w:ascii="Times New Roman" w:eastAsia="Times New Roman" w:hAnsi="Times New Roman" w:cs="Times New Roman"/>
      <w:sz w:val="24"/>
      <w:szCs w:val="20"/>
      <w:lang w:val="en-GB"/>
    </w:rPr>
  </w:style>
  <w:style w:type="paragraph" w:customStyle="1" w:styleId="2CBB2A0B72674470B30B3225F78306DD1">
    <w:name w:val="2CBB2A0B72674470B30B3225F78306DD1"/>
    <w:rsid w:val="00ED10DB"/>
    <w:pPr>
      <w:spacing w:after="240" w:line="240" w:lineRule="auto"/>
      <w:jc w:val="both"/>
    </w:pPr>
    <w:rPr>
      <w:rFonts w:ascii="Times New Roman" w:eastAsia="Times New Roman" w:hAnsi="Times New Roman" w:cs="Times New Roman"/>
      <w:sz w:val="24"/>
      <w:szCs w:val="20"/>
      <w:lang w:val="en-GB"/>
    </w:rPr>
  </w:style>
  <w:style w:type="paragraph" w:customStyle="1" w:styleId="D6B275DB24F84EFBB866B5C9055058FF1">
    <w:name w:val="D6B275DB24F84EFBB866B5C9055058FF1"/>
    <w:rsid w:val="00ED10DB"/>
    <w:pPr>
      <w:spacing w:after="240" w:line="240" w:lineRule="auto"/>
      <w:jc w:val="both"/>
    </w:pPr>
    <w:rPr>
      <w:rFonts w:ascii="Times New Roman" w:eastAsia="Times New Roman" w:hAnsi="Times New Roman" w:cs="Times New Roman"/>
      <w:sz w:val="24"/>
      <w:szCs w:val="20"/>
      <w:lang w:val="en-GB"/>
    </w:rPr>
  </w:style>
  <w:style w:type="paragraph" w:customStyle="1" w:styleId="A1D7C4E93E5D41968C9784C962AACA551">
    <w:name w:val="A1D7C4E93E5D41968C9784C962AACA551"/>
    <w:rsid w:val="00ED10DB"/>
    <w:pPr>
      <w:spacing w:after="240" w:line="240" w:lineRule="auto"/>
      <w:jc w:val="both"/>
    </w:pPr>
    <w:rPr>
      <w:rFonts w:ascii="Times New Roman" w:eastAsia="Times New Roman" w:hAnsi="Times New Roman" w:cs="Times New Roman"/>
      <w:sz w:val="24"/>
      <w:szCs w:val="20"/>
      <w:lang w:val="en-GB"/>
    </w:rPr>
  </w:style>
  <w:style w:type="paragraph" w:customStyle="1" w:styleId="84FB87486BC94E5EB76E972E1BD8265B1">
    <w:name w:val="84FB87486BC94E5EB76E972E1BD8265B1"/>
    <w:rsid w:val="00ED10DB"/>
    <w:pPr>
      <w:spacing w:after="240" w:line="240" w:lineRule="auto"/>
      <w:jc w:val="both"/>
    </w:pPr>
    <w:rPr>
      <w:rFonts w:ascii="Times New Roman" w:eastAsia="Times New Roman" w:hAnsi="Times New Roman" w:cs="Times New Roman"/>
      <w:sz w:val="24"/>
      <w:szCs w:val="20"/>
      <w:lang w:val="en-GB"/>
    </w:rPr>
  </w:style>
  <w:style w:type="paragraph" w:customStyle="1" w:styleId="477E34A225354857B4B5D36D9CA8A6AA1">
    <w:name w:val="477E34A225354857B4B5D36D9CA8A6AA1"/>
    <w:rsid w:val="00ED10DB"/>
    <w:pPr>
      <w:tabs>
        <w:tab w:val="num" w:pos="709"/>
      </w:tabs>
      <w:spacing w:after="240" w:line="240" w:lineRule="auto"/>
      <w:ind w:left="709" w:hanging="709"/>
      <w:jc w:val="both"/>
    </w:pPr>
    <w:rPr>
      <w:rFonts w:ascii="Times New Roman" w:eastAsia="Times New Roman" w:hAnsi="Times New Roman" w:cs="Times New Roman"/>
      <w:sz w:val="24"/>
      <w:szCs w:val="20"/>
      <w:lang w:val="en-GB"/>
    </w:rPr>
  </w:style>
  <w:style w:type="paragraph" w:customStyle="1" w:styleId="70AAD37E9A1F4B5EA5C1270588299908">
    <w:name w:val="70AAD37E9A1F4B5EA5C1270588299908"/>
    <w:rsid w:val="00894A0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Texts>
  <SensitiveFootnoteHyperlink>{field:HYPERLINK "https://europa.eu/!db43PX" |https://europa.eu/!db43PX}</SensitiveFootnoteHyperlink>
  <SecuritySecurityMatter>Security Matter</SecuritySecurityMatter>
  <SensitiveLabel>Sensitive</SensitiveLabel>
  <SensitiveHandling>Distribution only on a 'Need to know' basis - Do not read or carry openly in public places. Must be stored securely and encrypted in storage and transmission. Destroy copies by shredding or secure deletion. Full handling instructions: </SensitiveHandling>
  <LabelFormattedTableSeqEC>Table {field: SEQ Table \* ARABIC }: </LabelFormattedTableSeqEC>
  <NoteCopy>c.c.:</NoteCopy>
  <NoteCopies>c.c.:</NoteCopies>
  <MarkingUntilText>UNTIL</MarkingUntilText>
  <OrgaRoot>EUROPEAN COMMISSION</OrgaRoot>
  <SecurityPharma>Pharma Investigations</SecurityPharma>
  <ClimaSensitive>CLIMA</ClimaSensitive>
  <SecurityEmbargo>EMBARGO UNTIL</SecurityEmbargo>
  <NoteFile>Note for the File</NoteFile>
  <NoteEnclosures>Enclosures:</NoteEnclosures>
  <NoteEnclosure>Enclosure:</NoteEnclosure>
  <NoteParticipant>Participant:</NoteParticipant>
  <NoteParticipants>Participants:</NoteParticipants>
  <Contact>Contact:</Contact>
  <Contacts>Contacts:</Contacts>
  <ESigned>Electronically signed</ESigned>
  <SecurityIasOperations>IAS Operations</SecurityIasOperations>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SensitiveFootnoteHyperlinkIASOperations>Handling instructions for SENSITIVE information are given at {field: HYPERLINK "https://europa.eu/!db43PX" |https://europa.eu/!db43PX}.</SensitiveFootnoteHyperlinkIASOperations>
  <LabelTableSeqWChapter>Table { STYLEREF "Chapter Number" \s }.{ SEQ Table \* ARABIC } – </LabelTableSeqWChapter>
  <LabelSource>Source</LabelSource>
  <LabelTableSeqEC>Table {SEQ Table \* ARABIC }: </LabelTableSeqEC>
  <EmbargoUnlimited>Embargo (Unlimited)</EmbargoUnlimited>
  <SecurityCompOperations>COMP Operations</SecurityCompOperations>
  <SecurityOpinionLegalService>Opinion of the Legal Service</SecurityOpinionLegalService>
  <NoteReference>Ref.:</NoteReference>
  <FooterPhone>Tel. direct line</FooterPhone>
  <FooterFax>Fax</FooterFax>
  <FooterOffice>Office:</FooterOffice>
  <PharmaSpecialHandlingLabel>Pharma Investigations</PharmaSpecialHandlingLabel>
  <SpecialHandlingFootnote>Special handling instructions are given at </SpecialHandlingFootnote>
  <PharmaSpecialHandlingHyperlink>{field:HYPERLINK "https://myintracomm.ec.europa.eu/corp/security/EN/newDS3/SensitiveInformation/Pages/SPECIAL-HANDLING-INFORMATION-Pharma-investigations.aspx?ln=en" |https://myintracomm.ec.europa.eu/corp/security/EN/newDS3/SensitiveInformation/Pages/SPECIAL-HANDLING-INFORMATION-Pharma-investigations.aspx?ln=en}</PharmaSpecialHandlingHyperlink>
  <SpecialHandlingLabel>Special Handling</SpecialHandlingLabel>
  <TOCHeading>Table of Contents</TOCHeading>
  <NoteSubject>Subject:</NoteSubject>
  <DAC.Line2>EMPLOYMENT, SOCIAL AFFAIRS AND INCLUSION</DAC.Line2>
  <DAC.Line3>REGIONAL AND URBAN POLICY</DAC.Line3>
  <DAC.Line1>DIRECTORATES-GENERAL</DAC.Line1>
  <CLIMASpecialHandlingHyperlink>{field:HYPERLINK "https://myintracomm.ec.europa.eu/corp/security/EN/newDS3/SensitiveInformation/Pages/SPECIAL-HANDLING-INFORMATION-DG-CLIMA.aspx?ln=en" |https://myintracomm.ec.europa.eu/corp/security/EN/newDS3/SensitiveInformation/Pages/SPECIAL-HANDLING-INFORMATION-DG-CLIMA.aspx?ln=en}</CLIMASpecialHandlingHyperlink>
  <CLIMASpecialHandlingLabel>CLIMA</CLIMASpecialHandlingLabel>
  <ContactFax>fax</ContactFax>
  <ContactTextPattern>%Name%[, %Function%][, %Office%][, %Phone%][, %Fax%][, %Email%][, %Dg%][, %Directorate%][, %Unit%]</ContactTextPattern>
  <ContactTel>tel.</ContactTel>
  <ContactOffice>office</ContactOffice>
  <SecurityMedicalSecret>Medical Secret</SecurityMedicalSecret>
  <SecurityStaffMatter>Staff Matter</SecurityStaffMatter>
  <SecurityMediationServiceMatter>Mediation Service</SecurityMediationServiceMatter>
  <LabelFigureSeqEC>Figure {SEQ Figure \* ARABIC }: </LabelFigureSeqEC>
  <LabelFigureSeqWChapter>Table {field: STYLEREF "Chapter Number" \s }.{field: SEQ Table \* ARABIC } –</LabelFigureSeqWChapter>
  <SecurityReleasable>RELEASABLE TO:</SecurityReleasable>
  <LabelPictureSeq>Figure {SEQ Figure \* ARABIC }: </LabelPictureSeq>
  <Year>({field: DATE \@ "yyyy" })</Year>
  <CourtProceduralDocuments>Court Procedural Documents</CourtProceduralDocuments>
  <SecurityInvestigationsDisciplinary>Investigations and Disciplinary Matters</SecurityInvestigationsDisciplinary>
  <SecurityOlafInvestigations>OLAF Investigations</SecurityOlafInvestigations>
  <OLAFSpecialHandlingLabel>OLAF Investigations</OLAFSpecialHandlingLabel>
  <OLAFSpecialHandlingHyperlink>{field:HYPERLINK "https://myintracomm.ec.europa.eu/corp/security/EN/newDS3/SensitiveInformation/Pages/SPECIAL-HANDLING-INFORMATION-OLAF-Investigations.aspx?ln=en" |https://myintracomm.ec.europa.eu/corp/security/EN/newDS3/SensitiveInformation/Pages/SPECIAL-HANDLING-INFORMATION-OLAF-Investigations.aspx?ln=en}</OLAFSpecialHandlingHyperlink>
  <COMPSpecialHandlingLabel>COMP</COMPSpecialHandlingLabel>
  <COMPSpecialHandlingHyperlink>{field:HYPERLINK "https://myintracomm.ec.europa.eu/corp/security/EN/newDS3/SensitiveInformation/Pages/SPECIAL-HANDLING-INFORMATION-DG-COMP.aspx?ln=en" |https://myintracomm.ec.europa.eu/corp/security/EN/newDS3/SensitiveInformation/Pages/SPECIAL-HANDLING-INFORMATION-DG-COMP.aspx?ln=en}</COMPSpecialHandlingHyperlink>
  <DateFormatShort>dd/MM/yyyy</DateFormatShort>
  <DateFormatLong>d MMMM yyyy</DateFormatLong>
</Texts>
</file>

<file path=customXml/item2.xml><?xml version="1.0" encoding="utf-8"?>
<EurolookProperties>
  <ProductCustomizationId>EC</ProductCustomizationId>
  <Created>
    <Version>10.0.44709.0</Version>
    <Date>2023-03-13T16:18:53</Date>
    <Language>EN</Language>
    <Note/>
  </Created>
  <Edited>
    <Version/>
    <Date/>
  </Edited>
  <DocumentModel>
    <Id>f8c36bec-0f9f-4d0e-ab25-ee5c0421ad8b</Id>
    <Name>Note for the file</Name>
  </DocumentModel>
  <CustomTemplate>
    <Id/>
    <Name/>
  </CustomTemplate>
  <DocumentDate>2023-03-13T16:18:53</DocumentDate>
  <DocumentVersion>0.1</DocumentVersion>
  <CompatibilityMode>Eurolook10</CompatibilityMode>
  <DocumentMetadata>
    <EC_SecurityDateMarkingEvent MetadataSerializationType="SimpleValue"/>
    <EC_SecurityReleasability MetadataSerializationType="SimpleValue"/>
    <EC_SecurityDateMarkingDate MetadataSerializationType="SimpleValue"/>
    <EC_SecurityDistributionWorkingGroup MetadataSerializationType="SimpleValue"/>
    <EC_SecurityDistributionDG MetadataSerializationType="SimpleValue"/>
    <EC_SecurityMarking MetadataSerializationType="SimpleValue"/>
    <EC_SecurityDistributionSensitive MetadataSerializationType="SimpleValue"/>
    <EC_SecurityDateMarking MetadataSerializationType="SimpleValue"/>
    <EC_SecurityDistributionSpecialHandling MetadataSerializationType="SimpleValue"/>
  </DocumentMetadata>
</EurolookProperties>
</file>

<file path=customXml/item3.xml><?xml version="1.0" encoding="utf-8"?>
<Author Role="Creator" AuthorRoleName="Writer" AuthorRoleId="a4fbaff4-b07c-48b4-a21e-e7b9eedf3796">
  <Id>9e744769-76e8-4a06-942c-c142895afbff</Id>
  <Names>
    <Latin>
      <FirstName>Jogchem</FirstName>
      <LastName>Schuijt</LastName>
    </Latin>
    <Greek>
      <FirstName/>
      <LastName/>
    </Greek>
    <Cyrillic>
      <FirstName/>
      <LastName/>
    </Cyrillic>
    <DocumentScript>
      <FirstName>Jogchem</FirstName>
      <LastName>Schuijt</LastName>
      <FullName>Jogchem Schuijt</FullName>
    </DocumentScript>
  </Names>
  <Initials>JS</Initials>
  <Gender>m</Gender>
  <Email>Jogchem.Schuijt@ec.europa.eu</Email>
  <Service>HR.B.1</Service>
  <Function ADCode="40" ShowInSignature="true" ShowInHeader="false" HeaderText="">Deputy Head of Unit</Function>
  <WebAddress/>
  <FunctionalMailbox/>
  <InheritedWebAddress>WebAddress</InheritedWebAddress>
  <OrgaEntity1>
    <Id>805c15ac-91b7-42ae-a642-e0e6c71741c1</Id>
    <LogicalLevel>1</LogicalLevel>
    <Name>HR</Name>
    <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&amp; Selections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&amp; Selections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+32 229-63160</Phone>
    <Office>L107 16/DCS</Office>
  </MainWorkplace>
  <Workplaces>
    <Workplace IsMain="true">
      <AddressId>f03b5801-04c9-4931-aa17-c6d6c70bc579</AddressId>
      <Fax/>
      <Phone>+32 229-63160</Phone>
      <Office>L107 16/DCS</Office>
    </Workplace>
  </Workplaces>
</Author>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BF37100A9351204890AE6EC9E8983010" ma:contentTypeVersion="15" ma:contentTypeDescription="Crée un document." ma:contentTypeScope="" ma:versionID="acd8e8bd0adb2c80a648bbeea8aa1fd1">
  <xsd:schema xmlns:xsd="http://www.w3.org/2001/XMLSchema" xmlns:xs="http://www.w3.org/2001/XMLSchema" xmlns:p="http://schemas.microsoft.com/office/2006/metadata/properties" xmlns:ns2="30c666ed-fe46-43d6-bf30-6de2567680e6" targetNamespace="http://schemas.microsoft.com/office/2006/metadata/properties" ma:root="true" ma:fieldsID="7bdc30587b92d20dd49b6e2158f734d7" ns2:_="">
    <xsd:import namespace="30c666ed-fe46-43d6-bf30-6de2567680e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Content" minOccurs="0"/>
                <xsd:element ref="ns2:Owners" minOccurs="0"/>
                <xsd:element ref="ns2:lcf76f155ced4ddcb4097134ff3c332f"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LengthInSeconds" minOccurs="0"/>
                <xsd:element ref="ns2:Responsibl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c666ed-fe46-43d6-bf30-6de2567680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Content" ma:index="12" nillable="true" ma:displayName="Content" ma:format="Dropdown" ma:internalName="Content">
      <xsd:simpleType>
        <xsd:restriction base="dms:Note">
          <xsd:maxLength value="255"/>
        </xsd:restriction>
      </xsd:simpleType>
    </xsd:element>
    <xsd:element name="Owners" ma:index="13" nillable="true" ma:displayName="Owners" ma:format="Dropdown" ma:list="UserInfo" ma:SharePointGroup="0" ma:internalName="Own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cf76f155ced4ddcb4097134ff3c332f" ma:index="15" nillable="true" ma:taxonomy="true" ma:internalName="lcf76f155ced4ddcb4097134ff3c332f" ma:taxonomyFieldName="MediaServiceImageTags" ma:displayName="Balises d’image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Responsible" ma:index="22" nillable="true" ma:displayName="Responsible" ma:format="Dropdown" ma:internalName="Responsibl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p:properties xmlns:p="http://schemas.microsoft.com/office/2006/metadata/properties" xmlns:xsi="http://www.w3.org/2001/XMLSchema-instance" xmlns:pc="http://schemas.microsoft.com/office/infopath/2007/PartnerControls">
  <documentManagement>
    <lcf76f155ced4ddcb4097134ff3c332f xmlns="30c666ed-fe46-43d6-bf30-6de2567680e6">
      <Terms xmlns="http://schemas.microsoft.com/office/infopath/2007/PartnerControls"/>
    </lcf76f155ced4ddcb4097134ff3c332f>
    <Responsible xmlns="30c666ed-fe46-43d6-bf30-6de2567680e6" xsi:nil="true"/>
    <Owners xmlns="30c666ed-fe46-43d6-bf30-6de2567680e6">
      <UserInfo>
        <DisplayName/>
        <AccountId xsi:nil="true"/>
        <AccountType/>
      </UserInfo>
    </Owners>
    <Content xmlns="30c666ed-fe46-43d6-bf30-6de2567680e6" xsi:nil="true"/>
  </documentManagement>
</p:properties>
</file>

<file path=customXml/itemProps1.xml><?xml version="1.0" encoding="utf-8"?>
<ds:datastoreItem xmlns:ds="http://schemas.openxmlformats.org/officeDocument/2006/customXml" ds:itemID="{4EF90DE6-88B6-4264-9629-4D8DFDFE87D2}">
  <ds:schemaRefs/>
</ds:datastoreItem>
</file>

<file path=customXml/itemProps2.xml><?xml version="1.0" encoding="utf-8"?>
<ds:datastoreItem xmlns:ds="http://schemas.openxmlformats.org/officeDocument/2006/customXml" ds:itemID="{D3EA5527-7367-4268-9D83-5125C98D0ED2}">
  <ds:schemaRefs/>
</ds:datastoreItem>
</file>

<file path=customXml/itemProps3.xml><?xml version="1.0" encoding="utf-8"?>
<ds:datastoreItem xmlns:ds="http://schemas.openxmlformats.org/officeDocument/2006/customXml" ds:itemID="{5A09F5FA-5D5D-4D33-B950-5288C78BDBC8}">
  <ds:schemaRefs/>
</ds:datastoreItem>
</file>

<file path=customXml/itemProps4.xml><?xml version="1.0" encoding="utf-8"?>
<ds:datastoreItem xmlns:ds="http://schemas.openxmlformats.org/officeDocument/2006/customXml" ds:itemID="{329FD2FA-43C6-4CF5-A302-460C8A2775C7}">
  <ds:schemaRefs>
    <ds:schemaRef ds:uri="http://schemas.openxmlformats.org/officeDocument/2006/bibliography"/>
  </ds:schemaRefs>
</ds:datastoreItem>
</file>

<file path=customXml/itemProps5.xml><?xml version="1.0" encoding="utf-8"?>
<ds:datastoreItem xmlns:ds="http://schemas.openxmlformats.org/officeDocument/2006/customXml" ds:itemID="{1D231750-B95C-4434-A259-20D8374A19CA}"/>
</file>

<file path=customXml/itemProps6.xml><?xml version="1.0" encoding="utf-8"?>
<ds:datastoreItem xmlns:ds="http://schemas.openxmlformats.org/officeDocument/2006/customXml" ds:itemID="{79F0AAE8-CCE4-4F1F-ACD3-15E72BFE867D}"/>
</file>

<file path=customXml/itemProps7.xml><?xml version="1.0" encoding="utf-8"?>
<ds:datastoreItem xmlns:ds="http://schemas.openxmlformats.org/officeDocument/2006/customXml" ds:itemID="{7AC486C4-CFCF-4218-A84F-97BE67820C71}"/>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Eurolook.dotm</ap:Template>
  <ap:Application>Microsoft Word for the web</ap:Application>
  <ap:DocSecurity>4</ap:DocSecurity>
  <ap:PresentationFormat>Microsoft Word 14.0</ap:PresentationFormat>
  <ap:ScaleCrop>true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SCHUIJT Jogchem (HR)</dc:creator>
  <cp:keywords/>
  <dc:description/>
  <cp:lastModifiedBy>MESSIAS Linda (HR)</cp:lastModifiedBy>
  <cp:revision>3</cp:revision>
  <cp:lastPrinted>2023-04-05T10:36:00Z</cp:lastPrinted>
  <dcterms:created xsi:type="dcterms:W3CDTF">2025-09-29T10:41:00Z</dcterms:created>
  <dcterms:modified xsi:type="dcterms:W3CDTF">2025-10-10T13:28:37Z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2023-03-13T15:18:54Z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c3d0ffb7-e5be-4ad4-aff5-495a1a2c67de</vt:lpwstr>
  </property>
  <property fmtid="{D5CDD505-2E9C-101B-9397-08002B2CF9AE}" pid="8" name="MSIP_Label_6bd9ddd1-4d20-43f6-abfa-fc3c07406f94_ContentBits">
    <vt:lpwstr>0</vt:lpwstr>
  </property>
  <property fmtid="{D5CDD505-2E9C-101B-9397-08002B2CF9AE}" pid="9" name="ContentTypeId">
    <vt:lpwstr>0x010100BF37100A9351204890AE6EC9E8983010</vt:lpwstr>
  </property>
  <property fmtid="{D5CDD505-2E9C-101B-9397-08002B2CF9AE}" pid="10" name="MediaServiceImageTags">
    <vt:lpwstr/>
  </property>
</Properties>
</file>