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150802">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281060">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lang w:val="en-IE" w:eastAsia="en-GB"/>
            </w:rPr>
            <w:id w:val="-1729989648"/>
            <w:placeholder>
              <w:docPart w:val="70AAD37E9A1F4B5EA5C1270588299908"/>
            </w:placeholder>
          </w:sdtPr>
          <w:sdtEndPr/>
          <w:sdtContent>
            <w:tc>
              <w:tcPr>
                <w:tcW w:w="5491" w:type="dxa"/>
                <w:shd w:val="clear" w:color="auto" w:fill="auto"/>
              </w:tcPr>
              <w:p w14:paraId="786241CD" w14:textId="572A174E" w:rsidR="00B65513" w:rsidRPr="00281060" w:rsidRDefault="41665AC1" w:rsidP="3E510202">
                <w:pPr>
                  <w:tabs>
                    <w:tab w:val="left" w:pos="426"/>
                  </w:tabs>
                  <w:spacing w:before="120"/>
                  <w:rPr>
                    <w:lang w:val="en-IE" w:eastAsia="en-GB"/>
                  </w:rPr>
                </w:pPr>
                <w:r w:rsidRPr="00281060">
                  <w:rPr>
                    <w:szCs w:val="24"/>
                    <w:lang w:val="en-IE"/>
                  </w:rPr>
                  <w:t>COMP –</w:t>
                </w:r>
                <w:r w:rsidR="00281060">
                  <w:rPr>
                    <w:szCs w:val="24"/>
                    <w:lang w:val="en-IE"/>
                  </w:rPr>
                  <w:t xml:space="preserve"> </w:t>
                </w:r>
                <w:r w:rsidR="00D149D2" w:rsidRPr="00281060">
                  <w:rPr>
                    <w:szCs w:val="24"/>
                    <w:lang w:val="en-IE"/>
                  </w:rPr>
                  <w:t>E4</w:t>
                </w:r>
              </w:p>
            </w:tc>
          </w:sdtContent>
        </w:sdt>
      </w:tr>
      <w:tr w:rsidR="00D96984" w:rsidRPr="00AF417C" w14:paraId="4B8EFB62" w14:textId="77777777" w:rsidTr="00281060">
        <w:tc>
          <w:tcPr>
            <w:tcW w:w="3111" w:type="dxa"/>
          </w:tcPr>
          <w:p w14:paraId="51EA5B20" w14:textId="2B6C1B3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r w:rsidR="00B730E2">
              <w:rPr>
                <w:bCs/>
                <w:lang w:val="en-IE" w:eastAsia="en-GB"/>
              </w:rPr>
              <w:t>S</w:t>
            </w:r>
            <w:r w:rsidRPr="0007110E">
              <w:rPr>
                <w:bCs/>
                <w:lang w:val="en-IE" w:eastAsia="en-GB"/>
              </w:rPr>
              <w:t>ysper:</w:t>
            </w:r>
          </w:p>
        </w:tc>
        <w:sdt>
          <w:sdtPr>
            <w:rPr>
              <w:lang w:val="en-IE" w:eastAsia="en-GB"/>
            </w:rPr>
            <w:id w:val="-686597872"/>
            <w:placeholder>
              <w:docPart w:val="722A130BB2FD42CB99AF58537814D26D"/>
            </w:placeholder>
          </w:sdtPr>
          <w:sdtEndPr/>
          <w:sdtContent>
            <w:tc>
              <w:tcPr>
                <w:tcW w:w="5491" w:type="dxa"/>
                <w:shd w:val="clear" w:color="auto" w:fill="auto"/>
              </w:tcPr>
              <w:p w14:paraId="26B6BD75" w14:textId="352908F9" w:rsidR="00D96984" w:rsidRPr="00281060" w:rsidRDefault="009F28FA" w:rsidP="3E510202">
                <w:pPr>
                  <w:tabs>
                    <w:tab w:val="left" w:pos="426"/>
                  </w:tabs>
                  <w:spacing w:before="120"/>
                  <w:rPr>
                    <w:lang w:val="en-IE" w:eastAsia="en-GB"/>
                  </w:rPr>
                </w:pPr>
                <w:r w:rsidRPr="009F28FA">
                  <w:rPr>
                    <w:lang w:val="en-IE" w:eastAsia="en-GB"/>
                  </w:rPr>
                  <w:t>297784</w:t>
                </w:r>
              </w:p>
            </w:tc>
          </w:sdtContent>
        </w:sdt>
      </w:tr>
      <w:tr w:rsidR="00E21DBD" w:rsidRPr="00AF417C" w14:paraId="4E8359D5" w14:textId="77777777" w:rsidTr="00281060">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shd w:val="clear" w:color="auto" w:fill="auto"/>
          </w:tcPr>
          <w:sdt>
            <w:sdtPr>
              <w:rPr>
                <w:lang w:val="en-IE" w:eastAsia="en-GB"/>
              </w:rPr>
              <w:id w:val="226507670"/>
              <w:placeholder>
                <w:docPart w:val="E4139A8A81AD41B0A456F71CC855670B"/>
              </w:placeholder>
            </w:sdtPr>
            <w:sdtEndPr/>
            <w:sdtContent>
              <w:p w14:paraId="714DA989" w14:textId="17C07333" w:rsidR="00E21DBD" w:rsidRPr="00281060" w:rsidRDefault="00D149D2" w:rsidP="3E510202">
                <w:pPr>
                  <w:tabs>
                    <w:tab w:val="left" w:pos="426"/>
                  </w:tabs>
                  <w:rPr>
                    <w:lang w:val="en-IE" w:eastAsia="en-GB"/>
                  </w:rPr>
                </w:pPr>
                <w:r w:rsidRPr="00281060">
                  <w:rPr>
                    <w:szCs w:val="24"/>
                    <w:lang w:val="en-IE"/>
                  </w:rPr>
                  <w:t>Teresa Vecchi</w:t>
                </w:r>
              </w:p>
            </w:sdtContent>
          </w:sdt>
          <w:p w14:paraId="34CF737A" w14:textId="6CAA786F" w:rsidR="00E21DBD" w:rsidRPr="00281060" w:rsidRDefault="00150802" w:rsidP="3E510202">
            <w:pPr>
              <w:tabs>
                <w:tab w:val="left" w:pos="426"/>
              </w:tabs>
              <w:contextualSpacing/>
              <w:rPr>
                <w:lang w:val="en-IE" w:eastAsia="en-GB"/>
              </w:rPr>
            </w:pPr>
            <w:sdt>
              <w:sdtPr>
                <w:rPr>
                  <w:lang w:val="en-IE" w:eastAsia="en-GB"/>
                </w:rPr>
                <w:id w:val="1175461244"/>
                <w:placeholder>
                  <w:docPart w:val="DefaultPlaceholder_-1854013440"/>
                </w:placeholder>
              </w:sdtPr>
              <w:sdtEndPr/>
              <w:sdtContent>
                <w:r w:rsidR="00D149D2" w:rsidRPr="00281060">
                  <w:rPr>
                    <w:lang w:val="en-IE" w:eastAsia="en-GB"/>
                  </w:rPr>
                  <w:t>1</w:t>
                </w:r>
                <w:r w:rsidR="00F24A9F">
                  <w:rPr>
                    <w:lang w:val="en-IE" w:eastAsia="en-GB"/>
                  </w:rPr>
                  <w:t>st</w:t>
                </w:r>
              </w:sdtContent>
            </w:sdt>
            <w:r w:rsidR="00E21DBD" w:rsidRPr="00281060">
              <w:rPr>
                <w:lang w:val="en-IE" w:eastAsia="en-GB"/>
              </w:rPr>
              <w:t xml:space="preserve"> quarter </w:t>
            </w:r>
            <w:sdt>
              <w:sdtPr>
                <w:rPr>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D149D2" w:rsidRPr="00281060">
                  <w:rPr>
                    <w:lang w:val="en-IE" w:eastAsia="en-GB"/>
                  </w:rPr>
                  <w:t>2026</w:t>
                </w:r>
              </w:sdtContent>
            </w:sdt>
          </w:p>
          <w:p w14:paraId="158DD156" w14:textId="7BF05080" w:rsidR="00E21DBD" w:rsidRPr="00281060" w:rsidRDefault="00150802" w:rsidP="3E510202">
            <w:pPr>
              <w:tabs>
                <w:tab w:val="left" w:pos="426"/>
              </w:tabs>
              <w:contextualSpacing/>
              <w:jc w:val="left"/>
              <w:rPr>
                <w:lang w:eastAsia="en-GB"/>
              </w:rPr>
            </w:pPr>
            <w:sdt>
              <w:sdtPr>
                <w:rPr>
                  <w:lang w:val="en-IE" w:eastAsia="en-GB"/>
                </w:rPr>
                <w:id w:val="202528730"/>
                <w:placeholder>
                  <w:docPart w:val="DefaultPlaceholder_-1854013440"/>
                </w:placeholder>
              </w:sdtPr>
              <w:sdtEndPr/>
              <w:sdtContent>
                <w:r w:rsidR="00A71F5D">
                  <w:rPr>
                    <w:lang w:val="en-IE" w:eastAsia="en-GB"/>
                  </w:rPr>
                  <w:t>2</w:t>
                </w:r>
              </w:sdtContent>
            </w:sdt>
            <w:r w:rsidR="00E21DBD" w:rsidRPr="00281060">
              <w:rPr>
                <w:lang w:val="en-IE" w:eastAsia="en-GB"/>
              </w:rPr>
              <w:t xml:space="preserve"> years</w:t>
            </w:r>
            <w:r w:rsidR="003B037B" w:rsidRPr="00281060">
              <w:br/>
            </w:r>
            <w:sdt>
              <w:sdtPr>
                <w:rPr>
                  <w:lang w:eastAsia="en-GB"/>
                </w:rPr>
                <w:id w:val="-69433268"/>
                <w14:checkbox>
                  <w14:checked w14:val="1"/>
                  <w14:checkedState w14:val="2612" w14:font="MS Gothic"/>
                  <w14:uncheckedState w14:val="2610" w14:font="MS Gothic"/>
                </w14:checkbox>
              </w:sdtPr>
              <w:sdtEndPr/>
              <w:sdtContent>
                <w:r w:rsidR="27919411" w:rsidRPr="00281060">
                  <w:rPr>
                    <w:rFonts w:ascii="MS Gothic" w:eastAsia="MS Gothic" w:hAnsi="MS Gothic" w:cs="MS Gothic"/>
                    <w:lang w:eastAsia="en-GB"/>
                  </w:rPr>
                  <w:t>☒</w:t>
                </w:r>
              </w:sdtContent>
            </w:sdt>
            <w:r w:rsidR="00E21DBD" w:rsidRPr="00281060">
              <w:rPr>
                <w:lang w:val="en-IE" w:eastAsia="en-GB"/>
              </w:rPr>
              <w:t xml:space="preserve"> Brussels</w:t>
            </w:r>
            <w:r w:rsidR="00994062" w:rsidRPr="00281060">
              <w:rPr>
                <w:lang w:val="en-IE" w:eastAsia="en-GB"/>
              </w:rPr>
              <w:t xml:space="preserve">  </w:t>
            </w:r>
            <w:sdt>
              <w:sdtPr>
                <w:rPr>
                  <w:lang w:eastAsia="en-GB"/>
                </w:rPr>
                <w:id w:val="1282158214"/>
                <w14:checkbox>
                  <w14:checked w14:val="0"/>
                  <w14:checkedState w14:val="2612" w14:font="MS Gothic"/>
                  <w14:uncheckedState w14:val="2610" w14:font="MS Gothic"/>
                </w14:checkbox>
              </w:sdtPr>
              <w:sdtEndPr/>
              <w:sdtContent>
                <w:r w:rsidR="007F02AC" w:rsidRPr="00281060">
                  <w:rPr>
                    <w:rFonts w:ascii="MS Gothic" w:eastAsia="MS Gothic" w:hAnsi="MS Gothic"/>
                    <w:lang w:eastAsia="en-GB"/>
                  </w:rPr>
                  <w:t>☐</w:t>
                </w:r>
              </w:sdtContent>
            </w:sdt>
            <w:r w:rsidR="00E21DBD" w:rsidRPr="00281060">
              <w:rPr>
                <w:lang w:eastAsia="en-GB"/>
              </w:rPr>
              <w:t xml:space="preserve"> Luxemburg</w:t>
            </w:r>
            <w:r w:rsidR="00994062" w:rsidRPr="00281060">
              <w:rPr>
                <w:lang w:eastAsia="en-GB"/>
              </w:rPr>
              <w:t xml:space="preserve">   </w:t>
            </w:r>
            <w:sdt>
              <w:sdtPr>
                <w:rPr>
                  <w:lang w:eastAsia="en-GB"/>
                </w:rPr>
                <w:id w:val="-432676822"/>
                <w14:checkbox>
                  <w14:checked w14:val="0"/>
                  <w14:checkedState w14:val="2612" w14:font="MS Gothic"/>
                  <w14:uncheckedState w14:val="2610" w14:font="MS Gothic"/>
                </w14:checkbox>
              </w:sdtPr>
              <w:sdtEndPr/>
              <w:sdtContent>
                <w:r w:rsidR="002109E6" w:rsidRPr="00281060">
                  <w:rPr>
                    <w:rFonts w:ascii="MS Gothic" w:eastAsia="MS Gothic" w:hAnsi="MS Gothic"/>
                    <w:lang w:eastAsia="en-GB"/>
                  </w:rPr>
                  <w:t>☐</w:t>
                </w:r>
              </w:sdtContent>
            </w:sdt>
            <w:r w:rsidR="00E21DBD" w:rsidRPr="00281060">
              <w:rPr>
                <w:lang w:eastAsia="en-GB"/>
              </w:rPr>
              <w:t xml:space="preserve"> Other: </w:t>
            </w:r>
            <w:sdt>
              <w:sdtPr>
                <w:rPr>
                  <w:lang w:eastAsia="en-GB"/>
                </w:rPr>
                <w:id w:val="-186994276"/>
                <w:placeholder>
                  <w:docPart w:val="42CE55A0461841A39534A5E777539A67"/>
                </w:placeholder>
              </w:sdtPr>
              <w:sdtEndPr/>
              <w:sdtContent>
                <w:r w:rsidR="27919411" w:rsidRPr="00281060">
                  <w:rPr>
                    <w:lang w:eastAsia="en-GB"/>
                  </w:rPr>
                  <w:t xml:space="preserve"> </w:t>
                </w:r>
              </w:sdtContent>
            </w:sdt>
          </w:p>
          <w:p w14:paraId="7CA484B0" w14:textId="77777777" w:rsidR="00E21DBD" w:rsidRPr="00281060" w:rsidRDefault="00E21DBD" w:rsidP="00E82667">
            <w:pPr>
              <w:tabs>
                <w:tab w:val="left" w:pos="426"/>
              </w:tabs>
              <w:spacing w:before="120" w:after="0"/>
              <w:contextualSpacing/>
              <w:rPr>
                <w:bCs/>
                <w:lang w:val="en-IE" w:eastAsia="en-GB"/>
              </w:rPr>
            </w:pPr>
          </w:p>
        </w:tc>
      </w:tr>
      <w:tr w:rsidR="00E21DBD" w:rsidRPr="00AF417C" w14:paraId="01F2BC57" w14:textId="77777777" w:rsidTr="3E510202">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0C7AF689" w:rsidR="00E21DBD" w:rsidRPr="0007110E" w:rsidRDefault="008F4BA9" w:rsidP="00E82667">
            <w:pPr>
              <w:tabs>
                <w:tab w:val="left" w:pos="426"/>
              </w:tabs>
              <w:spacing w:before="120"/>
              <w:rPr>
                <w:bCs/>
                <w:lang w:val="en-IE" w:eastAsia="en-GB"/>
              </w:rPr>
            </w:pPr>
            <w:r>
              <w:rPr>
                <w:bCs/>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3E510202">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58309616" w:rsidR="00E21DBD" w:rsidRDefault="00E82667" w:rsidP="00E21DBD">
            <w:pPr>
              <w:tabs>
                <w:tab w:val="left" w:pos="426"/>
              </w:tabs>
              <w:contextualSpacing/>
              <w:rPr>
                <w:bCs/>
                <w:szCs w:val="24"/>
                <w:lang w:eastAsia="en-GB"/>
              </w:rPr>
            </w:pPr>
            <w:r>
              <w:rPr>
                <w:bCs/>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150802"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150802"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150802"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01EC30AC" w:rsidR="00E21DBD" w:rsidRPr="0007110E" w:rsidRDefault="00E82667" w:rsidP="00252050">
            <w:pPr>
              <w:tabs>
                <w:tab w:val="left" w:pos="426"/>
              </w:tabs>
              <w:rPr>
                <w:bCs/>
                <w:lang w:val="en-IE" w:eastAsia="en-GB"/>
              </w:rPr>
            </w:pPr>
            <w:r>
              <w:rPr>
                <w:bCs/>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3E510202">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1FC9F474" w:rsidR="00DF1E49" w:rsidRDefault="00E82667" w:rsidP="00E82667">
            <w:pPr>
              <w:tabs>
                <w:tab w:val="left" w:pos="426"/>
              </w:tabs>
              <w:spacing w:before="120" w:after="120"/>
              <w:rPr>
                <w:bCs/>
                <w:szCs w:val="24"/>
                <w:lang w:eastAsia="en-GB"/>
              </w:rPr>
            </w:pPr>
            <w:r>
              <w:rPr>
                <w:bCs/>
              </w:rPr>
              <w:object w:dxaOrig="1440" w:dyaOrig="1440" w14:anchorId="51A1B371">
                <v:shape id="_x0000_i1045" type="#_x0000_t75" style="width:108pt;height:21.6pt" o:ole="">
                  <v:imagedata r:id="rId23" o:title=""/>
                </v:shape>
                <w:control r:id="rId24" w:name="OptionButton2" w:shapeid="_x0000_i1045"/>
              </w:object>
            </w:r>
            <w:r>
              <w:rPr>
                <w:bCs/>
              </w:rPr>
              <w:object w:dxaOrig="1440" w:dyaOrig="1440" w14:anchorId="0992615F">
                <v:shape id="_x0000_i1047" type="#_x0000_t75" style="width:108pt;height:21.6pt" o:ole="">
                  <v:imagedata r:id="rId25" o:title=""/>
                </v:shape>
                <w:control r:id="rId26" w:name="OptionButton3" w:shapeid="_x0000_i1047"/>
              </w:object>
            </w:r>
          </w:p>
          <w:p w14:paraId="42C9AD79" w14:textId="5D21B6EA"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2-19T00:00:00Z">
                  <w:dateFormat w:val="dd-MM-yyyy"/>
                  <w:lid w:val="fr-BE"/>
                  <w:storeMappedDataAs w:val="dateTime"/>
                  <w:calendar w:val="gregorian"/>
                </w:date>
              </w:sdtPr>
              <w:sdtEndPr/>
              <w:sdtContent>
                <w:r w:rsidR="00150802">
                  <w:rPr>
                    <w:bCs/>
                    <w:lang w:val="fr-BE" w:eastAsia="en-GB"/>
                  </w:rPr>
                  <w:t>19-12-2025</w:t>
                </w:r>
              </w:sdtContent>
            </w:sdt>
          </w:p>
        </w:tc>
      </w:tr>
    </w:tbl>
    <w:p w14:paraId="739B1A99" w14:textId="26B4FBDA" w:rsidR="00E21DBD" w:rsidRPr="00012665" w:rsidRDefault="003E50A4" w:rsidP="00F24A9F">
      <w:pPr>
        <w:pStyle w:val="ListNumber"/>
        <w:numPr>
          <w:ilvl w:val="0"/>
          <w:numId w:val="0"/>
        </w:numPr>
        <w:spacing w:before="240"/>
        <w:ind w:left="709" w:hanging="709"/>
        <w:rPr>
          <w:lang w:eastAsia="en-GB"/>
        </w:rPr>
      </w:pPr>
      <w:bookmarkStart w:id="2" w:name="_Hlk132129090"/>
      <w:bookmarkEnd w:id="0"/>
      <w:bookmarkEnd w:id="1"/>
      <w:r>
        <w:rPr>
          <w:b/>
          <w:bCs/>
          <w:lang w:eastAsia="en-GB"/>
        </w:rPr>
        <w:t>Entity</w:t>
      </w:r>
      <w:r w:rsidR="00E21DBD" w:rsidRPr="00994062">
        <w:rPr>
          <w:b/>
          <w:bCs/>
          <w:lang w:eastAsia="en-GB"/>
        </w:rPr>
        <w:t xml:space="preserve"> Presentation (We are)</w:t>
      </w:r>
    </w:p>
    <w:sdt>
      <w:sdtPr>
        <w:rPr>
          <w:szCs w:val="20"/>
          <w:lang w:val="en-GB" w:eastAsia="en-GB"/>
        </w:rPr>
        <w:id w:val="1822233941"/>
        <w:placeholder>
          <w:docPart w:val="A1D7C4E93E5D41968C9784C962AACA55"/>
        </w:placeholder>
      </w:sdtPr>
      <w:sdtEndPr>
        <w:rPr>
          <w:szCs w:val="24"/>
          <w:lang w:val="en-US"/>
        </w:rPr>
      </w:sdtEndPr>
      <w:sdtContent>
        <w:p w14:paraId="63C2E6CB" w14:textId="62DB2C4A" w:rsidR="00F664FA" w:rsidRPr="00F24A9F" w:rsidRDefault="00F664FA" w:rsidP="00F664FA">
          <w:pPr>
            <w:pStyle w:val="BodyText"/>
            <w:spacing w:before="62"/>
            <w:ind w:right="234"/>
            <w:jc w:val="both"/>
          </w:pPr>
          <w:r w:rsidRPr="00F24A9F">
            <w:t>We</w:t>
          </w:r>
          <w:r w:rsidRPr="00F24A9F">
            <w:rPr>
              <w:spacing w:val="-3"/>
            </w:rPr>
            <w:t xml:space="preserve"> </w:t>
          </w:r>
          <w:r w:rsidRPr="00F24A9F">
            <w:t>are</w:t>
          </w:r>
          <w:r w:rsidRPr="00F24A9F">
            <w:rPr>
              <w:spacing w:val="-3"/>
            </w:rPr>
            <w:t xml:space="preserve"> </w:t>
          </w:r>
          <w:r w:rsidRPr="00F24A9F">
            <w:t>unit</w:t>
          </w:r>
          <w:r w:rsidRPr="00F24A9F">
            <w:rPr>
              <w:spacing w:val="-3"/>
            </w:rPr>
            <w:t xml:space="preserve"> </w:t>
          </w:r>
          <w:r w:rsidRPr="00F24A9F">
            <w:t>COMP/E4,</w:t>
          </w:r>
          <w:r w:rsidRPr="00F24A9F">
            <w:rPr>
              <w:spacing w:val="-3"/>
            </w:rPr>
            <w:t xml:space="preserve"> </w:t>
          </w:r>
          <w:r w:rsidRPr="00F24A9F">
            <w:t>responsible</w:t>
          </w:r>
          <w:r w:rsidRPr="00F24A9F">
            <w:rPr>
              <w:spacing w:val="-3"/>
            </w:rPr>
            <w:t xml:space="preserve"> </w:t>
          </w:r>
          <w:r w:rsidRPr="00F24A9F">
            <w:t>for</w:t>
          </w:r>
          <w:r w:rsidRPr="00F24A9F">
            <w:rPr>
              <w:spacing w:val="-3"/>
            </w:rPr>
            <w:t xml:space="preserve"> </w:t>
          </w:r>
          <w:r w:rsidRPr="00F24A9F">
            <w:t>merger</w:t>
          </w:r>
          <w:r w:rsidRPr="00F24A9F">
            <w:rPr>
              <w:spacing w:val="-3"/>
            </w:rPr>
            <w:t xml:space="preserve"> </w:t>
          </w:r>
          <w:r w:rsidRPr="00F24A9F">
            <w:t>control</w:t>
          </w:r>
          <w:r w:rsidRPr="00F24A9F">
            <w:rPr>
              <w:spacing w:val="-3"/>
            </w:rPr>
            <w:t xml:space="preserve"> </w:t>
          </w:r>
          <w:r w:rsidRPr="00F24A9F">
            <w:t>in</w:t>
          </w:r>
          <w:r w:rsidRPr="00F24A9F">
            <w:rPr>
              <w:spacing w:val="-3"/>
            </w:rPr>
            <w:t xml:space="preserve"> </w:t>
          </w:r>
          <w:r w:rsidRPr="00F24A9F">
            <w:t>Directorate</w:t>
          </w:r>
          <w:r w:rsidRPr="00F24A9F">
            <w:rPr>
              <w:spacing w:val="-3"/>
            </w:rPr>
            <w:t xml:space="preserve"> </w:t>
          </w:r>
          <w:r w:rsidRPr="00F24A9F">
            <w:t>E</w:t>
          </w:r>
          <w:r w:rsidRPr="00F24A9F">
            <w:rPr>
              <w:spacing w:val="-3"/>
            </w:rPr>
            <w:t xml:space="preserve"> </w:t>
          </w:r>
          <w:r w:rsidRPr="00F24A9F">
            <w:t>(Basic</w:t>
          </w:r>
          <w:r w:rsidRPr="00F24A9F">
            <w:rPr>
              <w:spacing w:val="-3"/>
            </w:rPr>
            <w:t xml:space="preserve"> </w:t>
          </w:r>
          <w:r w:rsidRPr="00F24A9F">
            <w:t>Industries,</w:t>
          </w:r>
          <w:r w:rsidRPr="00F24A9F">
            <w:rPr>
              <w:spacing w:val="-3"/>
            </w:rPr>
            <w:t xml:space="preserve"> </w:t>
          </w:r>
          <w:r w:rsidRPr="00F24A9F">
            <w:t>Manufacturing</w:t>
          </w:r>
          <w:r w:rsidRPr="00F24A9F">
            <w:rPr>
              <w:spacing w:val="-3"/>
            </w:rPr>
            <w:t xml:space="preserve"> </w:t>
          </w:r>
          <w:r w:rsidRPr="00F24A9F">
            <w:t>and</w:t>
          </w:r>
          <w:r w:rsidRPr="00F24A9F">
            <w:rPr>
              <w:spacing w:val="-3"/>
            </w:rPr>
            <w:t xml:space="preserve"> </w:t>
          </w:r>
          <w:r w:rsidRPr="00F24A9F">
            <w:t>Agriculture)</w:t>
          </w:r>
          <w:r w:rsidRPr="00F24A9F">
            <w:rPr>
              <w:spacing w:val="-3"/>
            </w:rPr>
            <w:t xml:space="preserve"> </w:t>
          </w:r>
          <w:r w:rsidRPr="00F24A9F">
            <w:t>in</w:t>
          </w:r>
          <w:r w:rsidRPr="00F24A9F">
            <w:rPr>
              <w:spacing w:val="-3"/>
            </w:rPr>
            <w:t xml:space="preserve"> </w:t>
          </w:r>
          <w:r w:rsidRPr="00F24A9F">
            <w:t>DG Competition (DG COMP). The core task of our unit is the assessment of mergers in sectors covering everything from mining, basic industries (e.g., steel), manufacturing, aerospace and defense industries, agriculture and food processing to consumer goods and retail.</w:t>
          </w:r>
        </w:p>
        <w:p w14:paraId="3C523043" w14:textId="77777777" w:rsidR="00F664FA" w:rsidRPr="00F24A9F" w:rsidRDefault="00F664FA" w:rsidP="00F664FA">
          <w:pPr>
            <w:pStyle w:val="BodyText"/>
            <w:spacing w:before="7"/>
            <w:jc w:val="both"/>
          </w:pPr>
        </w:p>
        <w:p w14:paraId="59DD0438" w14:textId="17C7D6ED" w:rsidR="00E21DBD" w:rsidRDefault="00F664FA" w:rsidP="00F24A9F">
          <w:pPr>
            <w:pStyle w:val="BodyText"/>
            <w:ind w:right="234"/>
            <w:jc w:val="both"/>
            <w:rPr>
              <w:lang w:eastAsia="en-GB"/>
            </w:rPr>
          </w:pPr>
          <w:r w:rsidRPr="00F24A9F">
            <w:t>We</w:t>
          </w:r>
          <w:r w:rsidRPr="00F24A9F">
            <w:rPr>
              <w:spacing w:val="-3"/>
            </w:rPr>
            <w:t xml:space="preserve"> </w:t>
          </w:r>
          <w:r w:rsidRPr="00F24A9F">
            <w:t>are</w:t>
          </w:r>
          <w:r w:rsidRPr="00F24A9F">
            <w:rPr>
              <w:spacing w:val="-3"/>
            </w:rPr>
            <w:t xml:space="preserve"> </w:t>
          </w:r>
          <w:r w:rsidRPr="00F24A9F">
            <w:t>a</w:t>
          </w:r>
          <w:r w:rsidRPr="00F24A9F">
            <w:rPr>
              <w:spacing w:val="-3"/>
            </w:rPr>
            <w:t xml:space="preserve"> </w:t>
          </w:r>
          <w:r w:rsidRPr="00F24A9F">
            <w:t>relatively</w:t>
          </w:r>
          <w:r w:rsidRPr="00F24A9F">
            <w:rPr>
              <w:spacing w:val="-3"/>
            </w:rPr>
            <w:t xml:space="preserve"> </w:t>
          </w:r>
          <w:r w:rsidRPr="00F24A9F">
            <w:t>young</w:t>
          </w:r>
          <w:r w:rsidRPr="00F24A9F">
            <w:rPr>
              <w:spacing w:val="-3"/>
            </w:rPr>
            <w:t xml:space="preserve"> </w:t>
          </w:r>
          <w:r w:rsidRPr="00F24A9F">
            <w:t>and</w:t>
          </w:r>
          <w:r w:rsidRPr="00F24A9F">
            <w:rPr>
              <w:spacing w:val="-3"/>
            </w:rPr>
            <w:t xml:space="preserve"> </w:t>
          </w:r>
          <w:r w:rsidRPr="00F24A9F">
            <w:t>dynamic</w:t>
          </w:r>
          <w:r w:rsidRPr="00F24A9F">
            <w:rPr>
              <w:spacing w:val="-3"/>
            </w:rPr>
            <w:t xml:space="preserve"> </w:t>
          </w:r>
          <w:r w:rsidRPr="00F24A9F">
            <w:t>team</w:t>
          </w:r>
          <w:r w:rsidRPr="00F24A9F">
            <w:rPr>
              <w:spacing w:val="-3"/>
            </w:rPr>
            <w:t xml:space="preserve"> </w:t>
          </w:r>
          <w:r w:rsidRPr="00F24A9F">
            <w:t>composed</w:t>
          </w:r>
          <w:r w:rsidRPr="00F24A9F">
            <w:rPr>
              <w:spacing w:val="-3"/>
            </w:rPr>
            <w:t xml:space="preserve"> </w:t>
          </w:r>
          <w:r w:rsidRPr="00F24A9F">
            <w:t>of</w:t>
          </w:r>
          <w:r w:rsidRPr="00F24A9F">
            <w:rPr>
              <w:spacing w:val="-3"/>
            </w:rPr>
            <w:t xml:space="preserve"> </w:t>
          </w:r>
          <w:r w:rsidRPr="00F24A9F">
            <w:t>24</w:t>
          </w:r>
          <w:r w:rsidRPr="00F24A9F">
            <w:rPr>
              <w:spacing w:val="-3"/>
            </w:rPr>
            <w:t xml:space="preserve"> </w:t>
          </w:r>
          <w:r w:rsidRPr="00F24A9F">
            <w:t>case</w:t>
          </w:r>
          <w:r w:rsidRPr="00F24A9F">
            <w:rPr>
              <w:spacing w:val="-3"/>
            </w:rPr>
            <w:t xml:space="preserve"> </w:t>
          </w:r>
          <w:r w:rsidRPr="00F24A9F">
            <w:t>handlers</w:t>
          </w:r>
          <w:r w:rsidRPr="00F24A9F">
            <w:rPr>
              <w:spacing w:val="-3"/>
            </w:rPr>
            <w:t xml:space="preserve"> </w:t>
          </w:r>
          <w:r w:rsidRPr="00F24A9F">
            <w:t>responsible</w:t>
          </w:r>
          <w:r w:rsidRPr="00F24A9F">
            <w:rPr>
              <w:spacing w:val="-3"/>
            </w:rPr>
            <w:t xml:space="preserve"> </w:t>
          </w:r>
          <w:r w:rsidRPr="00F24A9F">
            <w:t>for</w:t>
          </w:r>
          <w:r w:rsidRPr="00F24A9F">
            <w:rPr>
              <w:spacing w:val="-3"/>
            </w:rPr>
            <w:t xml:space="preserve"> </w:t>
          </w:r>
          <w:r w:rsidRPr="00F24A9F">
            <w:t>investigating</w:t>
          </w:r>
          <w:r w:rsidRPr="00F24A9F">
            <w:rPr>
              <w:spacing w:val="-3"/>
            </w:rPr>
            <w:t xml:space="preserve"> </w:t>
          </w:r>
          <w:r w:rsidRPr="00F24A9F">
            <w:t>cases</w:t>
          </w:r>
          <w:r w:rsidRPr="00F24A9F">
            <w:rPr>
              <w:spacing w:val="-3"/>
            </w:rPr>
            <w:t xml:space="preserve"> </w:t>
          </w:r>
          <w:r w:rsidRPr="00F24A9F">
            <w:t>and</w:t>
          </w:r>
          <w:r w:rsidRPr="00F24A9F">
            <w:rPr>
              <w:spacing w:val="-3"/>
            </w:rPr>
            <w:t xml:space="preserve"> </w:t>
          </w:r>
          <w:r w:rsidRPr="00F24A9F">
            <w:t xml:space="preserve">drafting decisions, 4 case assistants responsible for secretarial </w:t>
          </w:r>
          <w:r w:rsidRPr="00F24A9F">
            <w:lastRenderedPageBreak/>
            <w:t>and organizational support, usually 2 trainees and 2 case managers coordinating</w:t>
          </w:r>
          <w:r w:rsidRPr="00F24A9F">
            <w:rPr>
              <w:spacing w:val="-3"/>
            </w:rPr>
            <w:t xml:space="preserve"> </w:t>
          </w:r>
          <w:r w:rsidRPr="00F24A9F">
            <w:t>the</w:t>
          </w:r>
          <w:r w:rsidRPr="00F24A9F">
            <w:rPr>
              <w:spacing w:val="-2"/>
            </w:rPr>
            <w:t xml:space="preserve"> </w:t>
          </w:r>
          <w:r w:rsidRPr="00F24A9F">
            <w:t>case</w:t>
          </w:r>
          <w:r w:rsidRPr="00F24A9F">
            <w:rPr>
              <w:spacing w:val="-2"/>
            </w:rPr>
            <w:t xml:space="preserve"> </w:t>
          </w:r>
          <w:r w:rsidRPr="00F24A9F">
            <w:t>work.</w:t>
          </w:r>
          <w:r w:rsidRPr="00F24A9F">
            <w:rPr>
              <w:spacing w:val="-2"/>
            </w:rPr>
            <w:t xml:space="preserve"> </w:t>
          </w:r>
          <w:r w:rsidRPr="00F24A9F">
            <w:t>We</w:t>
          </w:r>
          <w:r w:rsidRPr="00F24A9F">
            <w:rPr>
              <w:spacing w:val="-2"/>
            </w:rPr>
            <w:t xml:space="preserve"> </w:t>
          </w:r>
          <w:r w:rsidRPr="00F24A9F">
            <w:t>are</w:t>
          </w:r>
          <w:r w:rsidRPr="00F24A9F">
            <w:rPr>
              <w:spacing w:val="-2"/>
            </w:rPr>
            <w:t xml:space="preserve"> </w:t>
          </w:r>
          <w:r w:rsidRPr="00F24A9F">
            <w:t>one</w:t>
          </w:r>
          <w:r w:rsidRPr="00F24A9F">
            <w:rPr>
              <w:spacing w:val="-2"/>
            </w:rPr>
            <w:t xml:space="preserve"> </w:t>
          </w:r>
          <w:r w:rsidRPr="00F24A9F">
            <w:t>of</w:t>
          </w:r>
          <w:r w:rsidRPr="00F24A9F">
            <w:rPr>
              <w:spacing w:val="-2"/>
            </w:rPr>
            <w:t xml:space="preserve"> </w:t>
          </w:r>
          <w:r w:rsidRPr="00F24A9F">
            <w:t>the</w:t>
          </w:r>
          <w:r w:rsidRPr="00F24A9F">
            <w:rPr>
              <w:spacing w:val="-2"/>
            </w:rPr>
            <w:t xml:space="preserve"> </w:t>
          </w:r>
          <w:r w:rsidRPr="00F24A9F">
            <w:t>largest</w:t>
          </w:r>
          <w:r w:rsidRPr="00F24A9F">
            <w:rPr>
              <w:spacing w:val="-2"/>
            </w:rPr>
            <w:t xml:space="preserve"> </w:t>
          </w:r>
          <w:r w:rsidRPr="00F24A9F">
            <w:t>merger</w:t>
          </w:r>
          <w:r w:rsidRPr="00F24A9F">
            <w:rPr>
              <w:spacing w:val="-2"/>
            </w:rPr>
            <w:t xml:space="preserve"> </w:t>
          </w:r>
          <w:r w:rsidRPr="00F24A9F">
            <w:t>units</w:t>
          </w:r>
          <w:r w:rsidRPr="00F24A9F">
            <w:rPr>
              <w:spacing w:val="-2"/>
            </w:rPr>
            <w:t xml:space="preserve"> </w:t>
          </w:r>
          <w:r w:rsidRPr="00F24A9F">
            <w:t>in</w:t>
          </w:r>
          <w:r w:rsidRPr="00F24A9F">
            <w:rPr>
              <w:spacing w:val="-2"/>
            </w:rPr>
            <w:t xml:space="preserve"> </w:t>
          </w:r>
          <w:r w:rsidRPr="00F24A9F">
            <w:t>DG</w:t>
          </w:r>
          <w:r w:rsidRPr="00F24A9F">
            <w:rPr>
              <w:spacing w:val="-2"/>
            </w:rPr>
            <w:t xml:space="preserve"> </w:t>
          </w:r>
          <w:r w:rsidRPr="00F24A9F">
            <w:t>COMP,</w:t>
          </w:r>
          <w:r w:rsidRPr="00F24A9F">
            <w:rPr>
              <w:spacing w:val="-2"/>
            </w:rPr>
            <w:t xml:space="preserve"> </w:t>
          </w:r>
          <w:r w:rsidRPr="00F24A9F">
            <w:t>with</w:t>
          </w:r>
          <w:r w:rsidRPr="00F24A9F">
            <w:rPr>
              <w:spacing w:val="-2"/>
            </w:rPr>
            <w:t xml:space="preserve"> </w:t>
          </w:r>
          <w:r w:rsidRPr="00F24A9F">
            <w:t>the</w:t>
          </w:r>
          <w:r w:rsidRPr="00F24A9F">
            <w:rPr>
              <w:spacing w:val="-2"/>
            </w:rPr>
            <w:t xml:space="preserve"> </w:t>
          </w:r>
          <w:r w:rsidRPr="00F24A9F">
            <w:t>mission</w:t>
          </w:r>
          <w:r w:rsidRPr="00F24A9F">
            <w:rPr>
              <w:spacing w:val="-2"/>
            </w:rPr>
            <w:t xml:space="preserve"> </w:t>
          </w:r>
          <w:r w:rsidRPr="00F24A9F">
            <w:t>to</w:t>
          </w:r>
          <w:r w:rsidRPr="00F24A9F">
            <w:rPr>
              <w:spacing w:val="-2"/>
            </w:rPr>
            <w:t xml:space="preserve"> </w:t>
          </w:r>
          <w:r w:rsidRPr="00F24A9F">
            <w:t>enforce</w:t>
          </w:r>
          <w:r w:rsidRPr="00F24A9F">
            <w:rPr>
              <w:spacing w:val="-2"/>
            </w:rPr>
            <w:t xml:space="preserve"> </w:t>
          </w:r>
          <w:r w:rsidRPr="00F24A9F">
            <w:t>merger</w:t>
          </w:r>
          <w:r w:rsidRPr="00F24A9F">
            <w:rPr>
              <w:spacing w:val="-2"/>
            </w:rPr>
            <w:t xml:space="preserve"> </w:t>
          </w:r>
          <w:r w:rsidRPr="00F24A9F">
            <w:t>control rules at EU level across the whole economy.</w:t>
          </w:r>
        </w:p>
      </w:sdtContent>
    </w:sdt>
    <w:p w14:paraId="50617C66" w14:textId="3928B21B" w:rsidR="00E21DBD" w:rsidRPr="00012665" w:rsidRDefault="00E21DBD" w:rsidP="00F24A9F">
      <w:pPr>
        <w:pStyle w:val="ListNumber"/>
        <w:numPr>
          <w:ilvl w:val="0"/>
          <w:numId w:val="0"/>
        </w:numPr>
        <w:spacing w:before="240"/>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rPr>
          <w:szCs w:val="24"/>
        </w:rPr>
      </w:sdtEndPr>
      <w:sdtContent>
        <w:p w14:paraId="0DAB6122" w14:textId="768F0B73" w:rsidR="00F664FA" w:rsidRPr="00F24A9F" w:rsidRDefault="00F664FA" w:rsidP="00F21EF1">
          <w:pPr>
            <w:ind w:right="256"/>
            <w:rPr>
              <w:szCs w:val="24"/>
              <w:lang w:val="en-US"/>
            </w:rPr>
          </w:pPr>
          <w:r w:rsidRPr="00F24A9F">
            <w:rPr>
              <w:szCs w:val="24"/>
              <w:lang w:val="en-US"/>
            </w:rPr>
            <w:t>The work consists of investigating and preparing the Commission’s position on concentrations falling under the Merger Regulation in the Commission's biggest merger unit.</w:t>
          </w:r>
          <w:r w:rsidR="00F21EF1">
            <w:rPr>
              <w:szCs w:val="24"/>
              <w:lang w:val="en-US"/>
            </w:rPr>
            <w:t xml:space="preserve"> </w:t>
          </w:r>
          <w:r w:rsidRPr="00F24A9F">
            <w:rPr>
              <w:szCs w:val="24"/>
              <w:lang w:val="en-US"/>
            </w:rPr>
            <w:t>Case handlers carry out the legal and economic analysis of the impact of concentrations on the competitive structure of the relevant markets. This includes having extensive discussions with the parties to the concentration and their lawyers and carrying out market investigations with their suppliers, competitors and customers and.  Contacts are also maintained with other services of the Commission and with</w:t>
          </w:r>
          <w:r w:rsidR="00F21EF1">
            <w:rPr>
              <w:szCs w:val="24"/>
              <w:lang w:val="en-US"/>
            </w:rPr>
            <w:t xml:space="preserve"> </w:t>
          </w:r>
          <w:r w:rsidRPr="00F24A9F">
            <w:rPr>
              <w:szCs w:val="24"/>
              <w:lang w:val="en-US"/>
            </w:rPr>
            <w:t>regulatory bodies across the EU and worldwide. Case handlers are responsible for preparing draft Commission decisions, preparing negotiations with companies and ensuring that procedures are correctly followed. Case handlers carry out these tasks in case teams.</w:t>
          </w:r>
        </w:p>
        <w:p w14:paraId="46EE3E07" w14:textId="7B974DC2" w:rsidR="00E21DBD" w:rsidRPr="00F24A9F" w:rsidRDefault="00014A90" w:rsidP="00F21EF1">
          <w:pPr>
            <w:ind w:right="256"/>
            <w:rPr>
              <w:szCs w:val="24"/>
              <w:lang w:val="en-US" w:eastAsia="en-GB"/>
            </w:rPr>
          </w:pPr>
          <w:r w:rsidRPr="00F24A9F">
            <w:rPr>
              <w:szCs w:val="24"/>
              <w:lang w:val="en-US"/>
            </w:rPr>
            <w:t>The</w:t>
          </w:r>
          <w:r w:rsidRPr="00F24A9F">
            <w:rPr>
              <w:spacing w:val="-1"/>
              <w:szCs w:val="24"/>
              <w:lang w:val="en-US"/>
            </w:rPr>
            <w:t xml:space="preserve"> </w:t>
          </w:r>
          <w:r w:rsidRPr="00F24A9F">
            <w:rPr>
              <w:szCs w:val="24"/>
              <w:lang w:val="en-US"/>
            </w:rPr>
            <w:t>wide</w:t>
          </w:r>
          <w:r w:rsidRPr="00F24A9F">
            <w:rPr>
              <w:spacing w:val="-1"/>
              <w:szCs w:val="24"/>
              <w:lang w:val="en-US"/>
            </w:rPr>
            <w:t xml:space="preserve"> </w:t>
          </w:r>
          <w:r w:rsidRPr="00F24A9F">
            <w:rPr>
              <w:szCs w:val="24"/>
              <w:lang w:val="en-US"/>
            </w:rPr>
            <w:t>range</w:t>
          </w:r>
          <w:r w:rsidRPr="00F24A9F">
            <w:rPr>
              <w:spacing w:val="-1"/>
              <w:szCs w:val="24"/>
              <w:lang w:val="en-US"/>
            </w:rPr>
            <w:t xml:space="preserve"> </w:t>
          </w:r>
          <w:r w:rsidRPr="00F24A9F">
            <w:rPr>
              <w:szCs w:val="24"/>
              <w:lang w:val="en-US"/>
            </w:rPr>
            <w:t>of</w:t>
          </w:r>
          <w:r w:rsidRPr="00F24A9F">
            <w:rPr>
              <w:spacing w:val="-1"/>
              <w:szCs w:val="24"/>
              <w:lang w:val="en-US"/>
            </w:rPr>
            <w:t xml:space="preserve"> </w:t>
          </w:r>
          <w:r w:rsidRPr="00F24A9F">
            <w:rPr>
              <w:szCs w:val="24"/>
              <w:lang w:val="en-US"/>
            </w:rPr>
            <w:t>industries</w:t>
          </w:r>
          <w:r w:rsidRPr="00F24A9F">
            <w:rPr>
              <w:spacing w:val="-1"/>
              <w:szCs w:val="24"/>
              <w:lang w:val="en-US"/>
            </w:rPr>
            <w:t xml:space="preserve"> </w:t>
          </w:r>
          <w:r w:rsidRPr="00F24A9F">
            <w:rPr>
              <w:szCs w:val="24"/>
              <w:lang w:val="en-US"/>
            </w:rPr>
            <w:t>covered</w:t>
          </w:r>
          <w:r w:rsidRPr="00F24A9F">
            <w:rPr>
              <w:spacing w:val="-1"/>
              <w:szCs w:val="24"/>
              <w:lang w:val="en-US"/>
            </w:rPr>
            <w:t xml:space="preserve"> </w:t>
          </w:r>
          <w:r w:rsidRPr="00F24A9F">
            <w:rPr>
              <w:szCs w:val="24"/>
              <w:lang w:val="en-US"/>
            </w:rPr>
            <w:t>by</w:t>
          </w:r>
          <w:r w:rsidRPr="00F24A9F">
            <w:rPr>
              <w:spacing w:val="-1"/>
              <w:szCs w:val="24"/>
              <w:lang w:val="en-US"/>
            </w:rPr>
            <w:t xml:space="preserve"> </w:t>
          </w:r>
          <w:r w:rsidRPr="00F24A9F">
            <w:rPr>
              <w:szCs w:val="24"/>
              <w:lang w:val="en-US"/>
            </w:rPr>
            <w:t>the</w:t>
          </w:r>
          <w:r w:rsidRPr="00F24A9F">
            <w:rPr>
              <w:spacing w:val="-1"/>
              <w:szCs w:val="24"/>
              <w:lang w:val="en-US"/>
            </w:rPr>
            <w:t xml:space="preserve"> </w:t>
          </w:r>
          <w:r w:rsidRPr="00F24A9F">
            <w:rPr>
              <w:szCs w:val="24"/>
              <w:lang w:val="en-US"/>
            </w:rPr>
            <w:t>unit</w:t>
          </w:r>
          <w:r w:rsidRPr="00F24A9F">
            <w:rPr>
              <w:spacing w:val="-1"/>
              <w:szCs w:val="24"/>
              <w:lang w:val="en-US"/>
            </w:rPr>
            <w:t xml:space="preserve"> </w:t>
          </w:r>
          <w:r w:rsidRPr="00F24A9F">
            <w:rPr>
              <w:szCs w:val="24"/>
              <w:lang w:val="en-US"/>
            </w:rPr>
            <w:t>gives</w:t>
          </w:r>
          <w:r w:rsidRPr="00F24A9F">
            <w:rPr>
              <w:spacing w:val="-1"/>
              <w:szCs w:val="24"/>
              <w:lang w:val="en-US"/>
            </w:rPr>
            <w:t xml:space="preserve"> </w:t>
          </w:r>
          <w:r w:rsidRPr="00F24A9F">
            <w:rPr>
              <w:szCs w:val="24"/>
              <w:lang w:val="en-US"/>
            </w:rPr>
            <w:t>the</w:t>
          </w:r>
          <w:r w:rsidRPr="00F24A9F">
            <w:rPr>
              <w:spacing w:val="-1"/>
              <w:szCs w:val="24"/>
              <w:lang w:val="en-US"/>
            </w:rPr>
            <w:t xml:space="preserve"> </w:t>
          </w:r>
          <w:r w:rsidRPr="00F24A9F">
            <w:rPr>
              <w:szCs w:val="24"/>
              <w:lang w:val="en-US"/>
            </w:rPr>
            <w:t>opportunity</w:t>
          </w:r>
          <w:r w:rsidRPr="00F24A9F">
            <w:rPr>
              <w:spacing w:val="-1"/>
              <w:szCs w:val="24"/>
              <w:lang w:val="en-US"/>
            </w:rPr>
            <w:t xml:space="preserve"> </w:t>
          </w:r>
          <w:r w:rsidRPr="00F24A9F">
            <w:rPr>
              <w:szCs w:val="24"/>
              <w:lang w:val="en-US"/>
            </w:rPr>
            <w:t>to</w:t>
          </w:r>
          <w:r w:rsidRPr="00F24A9F">
            <w:rPr>
              <w:spacing w:val="-1"/>
              <w:szCs w:val="24"/>
              <w:lang w:val="en-US"/>
            </w:rPr>
            <w:t xml:space="preserve"> </w:t>
          </w:r>
          <w:r w:rsidRPr="00F24A9F">
            <w:rPr>
              <w:szCs w:val="24"/>
              <w:lang w:val="en-US"/>
            </w:rPr>
            <w:t>get</w:t>
          </w:r>
          <w:r w:rsidRPr="00F24A9F">
            <w:rPr>
              <w:spacing w:val="-1"/>
              <w:szCs w:val="24"/>
              <w:lang w:val="en-US"/>
            </w:rPr>
            <w:t xml:space="preserve"> </w:t>
          </w:r>
          <w:r w:rsidRPr="00F24A9F">
            <w:rPr>
              <w:szCs w:val="24"/>
              <w:lang w:val="en-US"/>
            </w:rPr>
            <w:t>acquainted</w:t>
          </w:r>
          <w:r w:rsidRPr="00F24A9F">
            <w:rPr>
              <w:spacing w:val="-1"/>
              <w:szCs w:val="24"/>
              <w:lang w:val="en-US"/>
            </w:rPr>
            <w:t xml:space="preserve"> </w:t>
          </w:r>
          <w:r w:rsidRPr="00F24A9F">
            <w:rPr>
              <w:szCs w:val="24"/>
              <w:lang w:val="en-US"/>
            </w:rPr>
            <w:t>with</w:t>
          </w:r>
          <w:r w:rsidRPr="00F24A9F">
            <w:rPr>
              <w:spacing w:val="-1"/>
              <w:szCs w:val="24"/>
              <w:lang w:val="en-US"/>
            </w:rPr>
            <w:t xml:space="preserve"> </w:t>
          </w:r>
          <w:r w:rsidRPr="00F24A9F">
            <w:rPr>
              <w:szCs w:val="24"/>
              <w:lang w:val="en-US"/>
            </w:rPr>
            <w:t>the</w:t>
          </w:r>
          <w:r w:rsidRPr="00F24A9F">
            <w:rPr>
              <w:spacing w:val="-1"/>
              <w:szCs w:val="24"/>
              <w:lang w:val="en-US"/>
            </w:rPr>
            <w:t xml:space="preserve"> </w:t>
          </w:r>
          <w:r w:rsidRPr="00F24A9F">
            <w:rPr>
              <w:szCs w:val="24"/>
              <w:lang w:val="en-US"/>
            </w:rPr>
            <w:t>dynamics</w:t>
          </w:r>
          <w:r w:rsidRPr="00F24A9F">
            <w:rPr>
              <w:spacing w:val="-1"/>
              <w:szCs w:val="24"/>
              <w:lang w:val="en-US"/>
            </w:rPr>
            <w:t xml:space="preserve"> </w:t>
          </w:r>
          <w:r w:rsidRPr="00F24A9F">
            <w:rPr>
              <w:szCs w:val="24"/>
              <w:lang w:val="en-US"/>
            </w:rPr>
            <w:t>of</w:t>
          </w:r>
          <w:r w:rsidRPr="00F24A9F">
            <w:rPr>
              <w:spacing w:val="-1"/>
              <w:szCs w:val="24"/>
              <w:lang w:val="en-US"/>
            </w:rPr>
            <w:t xml:space="preserve"> </w:t>
          </w:r>
          <w:r w:rsidRPr="00F24A9F">
            <w:rPr>
              <w:szCs w:val="24"/>
              <w:lang w:val="en-US"/>
            </w:rPr>
            <w:t>various</w:t>
          </w:r>
          <w:r w:rsidRPr="00F24A9F">
            <w:rPr>
              <w:spacing w:val="-1"/>
              <w:szCs w:val="24"/>
              <w:lang w:val="en-US"/>
            </w:rPr>
            <w:t xml:space="preserve"> </w:t>
          </w:r>
          <w:r w:rsidRPr="00F24A9F">
            <w:rPr>
              <w:szCs w:val="24"/>
              <w:lang w:val="en-US"/>
            </w:rPr>
            <w:t>markets and</w:t>
          </w:r>
          <w:r w:rsidRPr="00F24A9F">
            <w:rPr>
              <w:spacing w:val="-3"/>
              <w:szCs w:val="24"/>
              <w:lang w:val="en-US"/>
            </w:rPr>
            <w:t xml:space="preserve"> </w:t>
          </w:r>
          <w:r w:rsidRPr="00F24A9F">
            <w:rPr>
              <w:szCs w:val="24"/>
              <w:lang w:val="en-US"/>
            </w:rPr>
            <w:t>to</w:t>
          </w:r>
          <w:r w:rsidRPr="00F24A9F">
            <w:rPr>
              <w:spacing w:val="-2"/>
              <w:szCs w:val="24"/>
              <w:lang w:val="en-US"/>
            </w:rPr>
            <w:t xml:space="preserve"> </w:t>
          </w:r>
          <w:r w:rsidRPr="00F24A9F">
            <w:rPr>
              <w:szCs w:val="24"/>
              <w:lang w:val="en-US"/>
            </w:rPr>
            <w:t>explore</w:t>
          </w:r>
          <w:r w:rsidRPr="00F24A9F">
            <w:rPr>
              <w:spacing w:val="-2"/>
              <w:szCs w:val="24"/>
              <w:lang w:val="en-US"/>
            </w:rPr>
            <w:t xml:space="preserve"> </w:t>
          </w:r>
          <w:r w:rsidRPr="00F24A9F">
            <w:rPr>
              <w:szCs w:val="24"/>
              <w:lang w:val="en-US"/>
            </w:rPr>
            <w:t>different</w:t>
          </w:r>
          <w:r w:rsidRPr="00F24A9F">
            <w:rPr>
              <w:spacing w:val="-2"/>
              <w:szCs w:val="24"/>
              <w:lang w:val="en-US"/>
            </w:rPr>
            <w:t xml:space="preserve"> </w:t>
          </w:r>
          <w:r w:rsidRPr="00F24A9F">
            <w:rPr>
              <w:szCs w:val="24"/>
              <w:lang w:val="en-US"/>
            </w:rPr>
            <w:t>theories</w:t>
          </w:r>
          <w:r w:rsidRPr="00F24A9F">
            <w:rPr>
              <w:spacing w:val="-2"/>
              <w:szCs w:val="24"/>
              <w:lang w:val="en-US"/>
            </w:rPr>
            <w:t xml:space="preserve"> </w:t>
          </w:r>
          <w:r w:rsidRPr="00F24A9F">
            <w:rPr>
              <w:szCs w:val="24"/>
              <w:lang w:val="en-US"/>
            </w:rPr>
            <w:t>of</w:t>
          </w:r>
          <w:r w:rsidRPr="00F24A9F">
            <w:rPr>
              <w:spacing w:val="-2"/>
              <w:szCs w:val="24"/>
              <w:lang w:val="en-US"/>
            </w:rPr>
            <w:t xml:space="preserve"> </w:t>
          </w:r>
          <w:r w:rsidRPr="00F24A9F">
            <w:rPr>
              <w:szCs w:val="24"/>
              <w:lang w:val="en-US"/>
            </w:rPr>
            <w:t>harm.</w:t>
          </w:r>
          <w:r w:rsidRPr="00F24A9F">
            <w:rPr>
              <w:spacing w:val="-2"/>
              <w:szCs w:val="24"/>
              <w:lang w:val="en-US"/>
            </w:rPr>
            <w:t xml:space="preserve"> </w:t>
          </w:r>
          <w:r w:rsidRPr="00F24A9F">
            <w:rPr>
              <w:szCs w:val="24"/>
              <w:lang w:val="en-US"/>
            </w:rPr>
            <w:t>The work</w:t>
          </w:r>
          <w:r w:rsidRPr="00F24A9F">
            <w:rPr>
              <w:spacing w:val="-2"/>
              <w:szCs w:val="24"/>
              <w:lang w:val="en-US"/>
            </w:rPr>
            <w:t xml:space="preserve"> </w:t>
          </w:r>
          <w:r w:rsidRPr="00F24A9F">
            <w:rPr>
              <w:szCs w:val="24"/>
              <w:lang w:val="en-US"/>
            </w:rPr>
            <w:t>is</w:t>
          </w:r>
          <w:r w:rsidRPr="00F24A9F">
            <w:rPr>
              <w:spacing w:val="-2"/>
              <w:szCs w:val="24"/>
              <w:lang w:val="en-US"/>
            </w:rPr>
            <w:t xml:space="preserve"> </w:t>
          </w:r>
          <w:r w:rsidRPr="00F24A9F">
            <w:rPr>
              <w:szCs w:val="24"/>
              <w:lang w:val="en-US"/>
            </w:rPr>
            <w:t>varied,</w:t>
          </w:r>
          <w:r w:rsidRPr="00F24A9F">
            <w:rPr>
              <w:spacing w:val="-2"/>
              <w:szCs w:val="24"/>
              <w:lang w:val="en-US"/>
            </w:rPr>
            <w:t xml:space="preserve"> </w:t>
          </w:r>
          <w:r w:rsidRPr="00F24A9F">
            <w:rPr>
              <w:szCs w:val="24"/>
              <w:lang w:val="en-US"/>
            </w:rPr>
            <w:t>rewarding</w:t>
          </w:r>
          <w:r w:rsidRPr="00F24A9F">
            <w:rPr>
              <w:spacing w:val="-2"/>
              <w:szCs w:val="24"/>
              <w:lang w:val="en-US"/>
            </w:rPr>
            <w:t xml:space="preserve"> </w:t>
          </w:r>
          <w:r w:rsidRPr="00F24A9F">
            <w:rPr>
              <w:szCs w:val="24"/>
              <w:lang w:val="en-US"/>
            </w:rPr>
            <w:t>and has a real impact on the economy, on industry and corporate structures and on consumers' daily life. We encourage open discussion and creativity as cases often raise novel legal and economic issues.</w:t>
          </w:r>
          <w:r w:rsidR="00F21EF1">
            <w:rPr>
              <w:szCs w:val="24"/>
              <w:lang w:val="en-US"/>
            </w:rPr>
            <w:t xml:space="preserve"> </w:t>
          </w:r>
          <w:r w:rsidR="00F664FA" w:rsidRPr="00F24A9F">
            <w:rPr>
              <w:szCs w:val="24"/>
              <w:lang w:val="en-US"/>
            </w:rPr>
            <w:t>The work is mostly in English, although some cases are dealt with in other languages of the EU, depending on the merging parties’ requests.</w:t>
          </w:r>
        </w:p>
      </w:sdtContent>
    </w:sdt>
    <w:p w14:paraId="58E0FD96" w14:textId="2D5F7C92" w:rsidR="00E21DBD" w:rsidRPr="00012665" w:rsidRDefault="00E21DBD" w:rsidP="00F24A9F">
      <w:pPr>
        <w:pStyle w:val="ListNumber"/>
        <w:numPr>
          <w:ilvl w:val="0"/>
          <w:numId w:val="0"/>
        </w:numPr>
        <w:spacing w:before="240"/>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rPr>
          <w:highlight w:val="green"/>
        </w:rPr>
      </w:sdtEndPr>
      <w:sdtContent>
        <w:p w14:paraId="51994EDB" w14:textId="3CC46A30" w:rsidR="002E40A9" w:rsidRPr="00281060" w:rsidRDefault="00014A90" w:rsidP="00F21EF1">
          <w:pPr>
            <w:ind w:right="256"/>
            <w:rPr>
              <w:lang w:val="en-US" w:eastAsia="en-GB"/>
            </w:rPr>
          </w:pPr>
          <w:r w:rsidRPr="00F24A9F">
            <w:rPr>
              <w:lang w:val="en-US" w:eastAsia="en-GB"/>
            </w:rPr>
            <w:t>The ideal candidate is a curious, dynamic individual with lots of common sense, who enjoys a fast-paced working environment. Strong analytical and proven drafting skills are a clear asset, together with a sense of initiative and the ability to deliver output within tight deadlines. The candidate must also be open-minded and a real team player. A</w:t>
          </w:r>
          <w:r w:rsidR="007D035A">
            <w:rPr>
              <w:lang w:val="en-US" w:eastAsia="en-GB"/>
            </w:rPr>
            <w:t> </w:t>
          </w:r>
          <w:r w:rsidRPr="00F24A9F">
            <w:rPr>
              <w:lang w:val="en-US" w:eastAsia="en-GB"/>
            </w:rPr>
            <w:t xml:space="preserve">background in law, economics, engineering and/or business and working experience in competition law are clear assets. </w:t>
          </w:r>
        </w:p>
      </w:sdtContent>
    </w:sdt>
    <w:bookmarkEnd w:id="2"/>
    <w:p w14:paraId="17A4561D" w14:textId="2857CBE0" w:rsidR="00E21DBD" w:rsidRPr="00DF1E49" w:rsidRDefault="00DF1E49" w:rsidP="00F24A9F">
      <w:pPr>
        <w:pStyle w:val="ListNumber"/>
        <w:keepNext/>
        <w:numPr>
          <w:ilvl w:val="0"/>
          <w:numId w:val="0"/>
        </w:numPr>
        <w:spacing w:before="240"/>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lastRenderedPageBreak/>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r>
        <w:lastRenderedPageBreak/>
        <w:t xml:space="preserve">in particular to the confidentiality and security of such data. </w:t>
      </w:r>
      <w:bookmarkStart w:id="3" w:name="_Hlk132131276"/>
      <w:r>
        <w:t>Before applying, please read the attached privacy statement.</w:t>
      </w:r>
      <w:bookmarkEnd w:id="3"/>
    </w:p>
    <w:sectPr w:rsidR="00F93413" w:rsidSect="00F21EF1">
      <w:footerReference w:type="even" r:id="rId30"/>
      <w:footerReference w:type="default" r:id="rId31"/>
      <w:endnotePr>
        <w:numFmt w:val="lowerLetter"/>
      </w:endnotePr>
      <w:pgSz w:w="11906" w:h="16838"/>
      <w:pgMar w:top="1020" w:right="1558"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5CC72" w14:textId="77777777" w:rsidR="000016A3" w:rsidRDefault="000016A3">
      <w:pPr>
        <w:spacing w:after="0"/>
      </w:pPr>
      <w:r>
        <w:separator/>
      </w:r>
    </w:p>
  </w:endnote>
  <w:endnote w:type="continuationSeparator" w:id="0">
    <w:p w14:paraId="4D2E8F6F" w14:textId="77777777" w:rsidR="000016A3" w:rsidRDefault="00001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35977" w14:textId="77777777" w:rsidR="000016A3" w:rsidRDefault="000016A3">
      <w:pPr>
        <w:spacing w:after="0"/>
      </w:pPr>
      <w:r>
        <w:separator/>
      </w:r>
    </w:p>
  </w:footnote>
  <w:footnote w:type="continuationSeparator" w:id="0">
    <w:p w14:paraId="131AD910" w14:textId="77777777" w:rsidR="000016A3" w:rsidRDefault="000016A3">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16A3"/>
    <w:rsid w:val="00002862"/>
    <w:rsid w:val="00012665"/>
    <w:rsid w:val="00014A90"/>
    <w:rsid w:val="000525E2"/>
    <w:rsid w:val="0007110E"/>
    <w:rsid w:val="0007544E"/>
    <w:rsid w:val="00092BCA"/>
    <w:rsid w:val="000A4668"/>
    <w:rsid w:val="000D129C"/>
    <w:rsid w:val="000F371B"/>
    <w:rsid w:val="000F4CD5"/>
    <w:rsid w:val="00111AB6"/>
    <w:rsid w:val="00150802"/>
    <w:rsid w:val="00182BC0"/>
    <w:rsid w:val="001D0A81"/>
    <w:rsid w:val="002109E6"/>
    <w:rsid w:val="00236F0E"/>
    <w:rsid w:val="00252050"/>
    <w:rsid w:val="00281060"/>
    <w:rsid w:val="002B3CBF"/>
    <w:rsid w:val="002C13C3"/>
    <w:rsid w:val="002C49D0"/>
    <w:rsid w:val="002E40A9"/>
    <w:rsid w:val="00394447"/>
    <w:rsid w:val="003B037B"/>
    <w:rsid w:val="003E50A4"/>
    <w:rsid w:val="0040388A"/>
    <w:rsid w:val="00431778"/>
    <w:rsid w:val="004543FC"/>
    <w:rsid w:val="00454CC7"/>
    <w:rsid w:val="00464195"/>
    <w:rsid w:val="00476034"/>
    <w:rsid w:val="005168AD"/>
    <w:rsid w:val="0058240F"/>
    <w:rsid w:val="00592CD5"/>
    <w:rsid w:val="005A7B3E"/>
    <w:rsid w:val="005D1B85"/>
    <w:rsid w:val="00665583"/>
    <w:rsid w:val="00693BC6"/>
    <w:rsid w:val="00696070"/>
    <w:rsid w:val="00704046"/>
    <w:rsid w:val="007D035A"/>
    <w:rsid w:val="007E531E"/>
    <w:rsid w:val="007F02AC"/>
    <w:rsid w:val="007F7012"/>
    <w:rsid w:val="008D02B7"/>
    <w:rsid w:val="008F0B52"/>
    <w:rsid w:val="008F4BA9"/>
    <w:rsid w:val="00994062"/>
    <w:rsid w:val="00996CC6"/>
    <w:rsid w:val="009A1EA0"/>
    <w:rsid w:val="009A2F00"/>
    <w:rsid w:val="009C5E27"/>
    <w:rsid w:val="009D5759"/>
    <w:rsid w:val="009F28FA"/>
    <w:rsid w:val="00A033AD"/>
    <w:rsid w:val="00A115AA"/>
    <w:rsid w:val="00A71F5D"/>
    <w:rsid w:val="00AB2CEA"/>
    <w:rsid w:val="00AB7A48"/>
    <w:rsid w:val="00AF4D0F"/>
    <w:rsid w:val="00AF6424"/>
    <w:rsid w:val="00B24CC5"/>
    <w:rsid w:val="00B3644B"/>
    <w:rsid w:val="00B65513"/>
    <w:rsid w:val="00B730E2"/>
    <w:rsid w:val="00B73F08"/>
    <w:rsid w:val="00B8014C"/>
    <w:rsid w:val="00BC2809"/>
    <w:rsid w:val="00BC7089"/>
    <w:rsid w:val="00C02950"/>
    <w:rsid w:val="00C06724"/>
    <w:rsid w:val="00C3254D"/>
    <w:rsid w:val="00C504C7"/>
    <w:rsid w:val="00C75BA4"/>
    <w:rsid w:val="00CB5B61"/>
    <w:rsid w:val="00CD2C5A"/>
    <w:rsid w:val="00D0015C"/>
    <w:rsid w:val="00D03CF4"/>
    <w:rsid w:val="00D149D2"/>
    <w:rsid w:val="00D7090C"/>
    <w:rsid w:val="00D84D53"/>
    <w:rsid w:val="00D96984"/>
    <w:rsid w:val="00DD41ED"/>
    <w:rsid w:val="00DF1E49"/>
    <w:rsid w:val="00E21DBD"/>
    <w:rsid w:val="00E342CB"/>
    <w:rsid w:val="00E41704"/>
    <w:rsid w:val="00E44D7F"/>
    <w:rsid w:val="00E82667"/>
    <w:rsid w:val="00E84FE8"/>
    <w:rsid w:val="00E96706"/>
    <w:rsid w:val="00EB3147"/>
    <w:rsid w:val="00F21EF1"/>
    <w:rsid w:val="00F24A9F"/>
    <w:rsid w:val="00F4683D"/>
    <w:rsid w:val="00F6462F"/>
    <w:rsid w:val="00F664FA"/>
    <w:rsid w:val="00F91B73"/>
    <w:rsid w:val="00F93413"/>
    <w:rsid w:val="00FD740F"/>
    <w:rsid w:val="00FE5A71"/>
    <w:rsid w:val="10725531"/>
    <w:rsid w:val="27919411"/>
    <w:rsid w:val="2FF1F5C4"/>
    <w:rsid w:val="3E510202"/>
    <w:rsid w:val="41665AC1"/>
    <w:rsid w:val="6270450A"/>
    <w:rsid w:val="65CA3FBD"/>
    <w:rsid w:val="6A663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525E2"/>
    <w:rsid w:val="001E3B1B"/>
    <w:rsid w:val="00416B25"/>
    <w:rsid w:val="004543FC"/>
    <w:rsid w:val="006212B2"/>
    <w:rsid w:val="006F0611"/>
    <w:rsid w:val="007F7378"/>
    <w:rsid w:val="00893390"/>
    <w:rsid w:val="00894A0C"/>
    <w:rsid w:val="00933561"/>
    <w:rsid w:val="009A12CB"/>
    <w:rsid w:val="00AB7A48"/>
    <w:rsid w:val="00C02950"/>
    <w:rsid w:val="00CA527C"/>
    <w:rsid w:val="00D374C1"/>
    <w:rsid w:val="00E96706"/>
    <w:rsid w:val="00ED10DB"/>
    <w:rsid w:val="00ED77B7"/>
    <w:rsid w:val="00FE5A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C16C79A6-BAFD-41A3-9C9B-C2078E571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A09F5FA-5D5D-4D33-B950-5288C78BDBC8}">
  <ds:schemaRefs/>
</ds:datastoreItem>
</file>

<file path=customXml/itemProps7.xml><?xml version="1.0" encoding="utf-8"?>
<ds:datastoreItem xmlns:ds="http://schemas.openxmlformats.org/officeDocument/2006/customXml" ds:itemID="{F56AE35A-A4C1-488B-8A80-41955AE84979}">
  <ds:schemaRefs>
    <ds:schemaRef ds:uri="http://schemas.microsoft.com/office/infopath/2007/PartnerControls"/>
    <ds:schemaRef ds:uri="http://purl.org/dc/dcmitype/"/>
    <ds:schemaRef ds:uri="30c666ed-fe46-43d6-bf30-6de2567680e6"/>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Eurolook.dotm</Template>
  <TotalTime>1</TotalTime>
  <Pages>4</Pages>
  <Words>1078</Words>
  <Characters>6147</Characters>
  <Application>Microsoft Office Word</Application>
  <DocSecurity>0</DocSecurity>
  <PresentationFormat>Microsoft Word 14.0</PresentationFormat>
  <Lines>51</Lines>
  <Paragraphs>14</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3</cp:revision>
  <cp:lastPrinted>2023-04-05T10:36:00Z</cp:lastPrinted>
  <dcterms:created xsi:type="dcterms:W3CDTF">2025-10-07T14:20:00Z</dcterms:created>
  <dcterms:modified xsi:type="dcterms:W3CDTF">2025-10-10T14:40:00Z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