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EE4E" w14:textId="7A61613E" w:rsidR="00F8299E" w:rsidRPr="00F94F34" w:rsidRDefault="00F8299E" w:rsidP="00F8299E">
      <w:pPr>
        <w:pStyle w:val="BodyText"/>
        <w:jc w:val="right"/>
        <w:rPr>
          <w:color w:val="000000"/>
          <w:szCs w:val="24"/>
          <w:lang w:val="lv-LV"/>
        </w:rPr>
      </w:pPr>
      <w:r w:rsidRPr="00F94F34">
        <w:rPr>
          <w:color w:val="000000"/>
          <w:szCs w:val="24"/>
          <w:lang w:val="lv-LV"/>
        </w:rPr>
        <w:t xml:space="preserve">1. pielikums </w:t>
      </w:r>
    </w:p>
    <w:p w14:paraId="2CEF196D" w14:textId="77777777" w:rsidR="00F8299E" w:rsidRPr="00F94F34" w:rsidRDefault="00F8299E" w:rsidP="00F8299E">
      <w:pPr>
        <w:pStyle w:val="BodyText"/>
        <w:jc w:val="right"/>
        <w:rPr>
          <w:color w:val="000000"/>
          <w:szCs w:val="24"/>
          <w:lang w:val="lv-LV"/>
        </w:rPr>
      </w:pPr>
      <w:r w:rsidRPr="00F94F34">
        <w:rPr>
          <w:color w:val="000000"/>
          <w:szCs w:val="24"/>
          <w:lang w:val="lv-LV"/>
        </w:rPr>
        <w:t xml:space="preserve">Ārlietu ministrijas </w:t>
      </w:r>
    </w:p>
    <w:p w14:paraId="6BAF446F" w14:textId="727C8DC4" w:rsidR="00F8299E" w:rsidRPr="00F94F34" w:rsidRDefault="008366FD" w:rsidP="00F8299E">
      <w:pPr>
        <w:pStyle w:val="BodyText"/>
        <w:jc w:val="right"/>
        <w:rPr>
          <w:color w:val="000000"/>
          <w:szCs w:val="24"/>
          <w:lang w:val="lv-LV"/>
        </w:rPr>
      </w:pPr>
      <w:r>
        <w:rPr>
          <w:color w:val="000000"/>
          <w:szCs w:val="24"/>
          <w:lang w:val="lv-LV"/>
        </w:rPr>
        <w:t>202</w:t>
      </w:r>
      <w:r w:rsidR="00F4694F">
        <w:rPr>
          <w:color w:val="000000"/>
          <w:szCs w:val="24"/>
          <w:lang w:val="lv-LV"/>
        </w:rPr>
        <w:t>5</w:t>
      </w:r>
      <w:r>
        <w:rPr>
          <w:color w:val="000000"/>
          <w:szCs w:val="24"/>
          <w:lang w:val="lv-LV"/>
        </w:rPr>
        <w:t>. gada</w:t>
      </w:r>
      <w:r w:rsidR="001733F1">
        <w:rPr>
          <w:color w:val="000000"/>
          <w:szCs w:val="24"/>
          <w:lang w:val="lv-LV"/>
        </w:rPr>
        <w:t xml:space="preserve"> 14. </w:t>
      </w:r>
      <w:r w:rsidR="006878F1">
        <w:rPr>
          <w:color w:val="000000"/>
          <w:szCs w:val="24"/>
          <w:lang w:val="lv-LV"/>
        </w:rPr>
        <w:t>oktobr</w:t>
      </w:r>
      <w:r w:rsidR="000F038B">
        <w:rPr>
          <w:color w:val="000000"/>
          <w:szCs w:val="24"/>
          <w:lang w:val="lv-LV"/>
        </w:rPr>
        <w:t>ī</w:t>
      </w:r>
    </w:p>
    <w:p w14:paraId="3DE14E5C" w14:textId="77777777" w:rsidR="00F8299E" w:rsidRPr="00F94F34" w:rsidRDefault="00F8299E" w:rsidP="00F8299E">
      <w:pPr>
        <w:pStyle w:val="BodyText"/>
        <w:jc w:val="right"/>
        <w:rPr>
          <w:color w:val="000000"/>
          <w:szCs w:val="24"/>
          <w:lang w:val="lv-LV"/>
        </w:rPr>
      </w:pPr>
      <w:r w:rsidRPr="00F94F34">
        <w:rPr>
          <w:color w:val="000000"/>
          <w:szCs w:val="24"/>
          <w:lang w:val="lv-LV"/>
        </w:rPr>
        <w:t xml:space="preserve">apstiprinātajam līdzfinansējuma </w:t>
      </w:r>
    </w:p>
    <w:p w14:paraId="122A78B1" w14:textId="76376A63" w:rsidR="000720B6" w:rsidRPr="00045F2A" w:rsidRDefault="00F8299E" w:rsidP="000720B6">
      <w:pPr>
        <w:pStyle w:val="BodyText"/>
        <w:jc w:val="right"/>
        <w:rPr>
          <w:b/>
          <w:bCs/>
          <w:color w:val="000000"/>
          <w:szCs w:val="24"/>
          <w:lang w:val="lv-LV"/>
        </w:rPr>
      </w:pPr>
      <w:r w:rsidRPr="00F94F34">
        <w:rPr>
          <w:color w:val="000000"/>
          <w:szCs w:val="24"/>
          <w:lang w:val="lv-LV"/>
        </w:rPr>
        <w:t>grant</w:t>
      </w:r>
      <w:r w:rsidR="00FD6BF8">
        <w:rPr>
          <w:color w:val="000000"/>
          <w:szCs w:val="24"/>
          <w:lang w:val="lv-LV"/>
        </w:rPr>
        <w:t>a</w:t>
      </w:r>
      <w:r w:rsidRPr="00F94F34">
        <w:rPr>
          <w:color w:val="000000"/>
          <w:szCs w:val="24"/>
          <w:lang w:val="lv-LV"/>
        </w:rPr>
        <w:t xml:space="preserve"> projektu konkursa nolikumam</w:t>
      </w:r>
    </w:p>
    <w:p w14:paraId="627F9D12" w14:textId="77777777" w:rsidR="00392FD8" w:rsidRPr="00045F2A" w:rsidRDefault="00392FD8" w:rsidP="002525EA">
      <w:pPr>
        <w:spacing w:after="0" w:line="240" w:lineRule="auto"/>
        <w:jc w:val="center"/>
        <w:rPr>
          <w:rFonts w:ascii="Times New Roman" w:eastAsia="Times New Roman" w:hAnsi="Times New Roman"/>
          <w:b/>
          <w:bCs/>
          <w:sz w:val="27"/>
          <w:szCs w:val="27"/>
          <w:lang w:eastAsia="lv-LV"/>
        </w:rPr>
      </w:pPr>
    </w:p>
    <w:p w14:paraId="54B9A663" w14:textId="77777777" w:rsidR="002525EA" w:rsidRPr="00045F2A" w:rsidRDefault="002525EA" w:rsidP="002525EA">
      <w:pPr>
        <w:spacing w:after="0" w:line="240" w:lineRule="auto"/>
        <w:jc w:val="center"/>
        <w:rPr>
          <w:rFonts w:ascii="Times New Roman" w:eastAsia="Times New Roman" w:hAnsi="Times New Roman"/>
          <w:b/>
          <w:bCs/>
          <w:sz w:val="27"/>
          <w:szCs w:val="27"/>
          <w:lang w:eastAsia="lv-LV"/>
        </w:rPr>
      </w:pPr>
      <w:r w:rsidRPr="00045F2A">
        <w:rPr>
          <w:rFonts w:ascii="Times New Roman" w:eastAsia="Times New Roman" w:hAnsi="Times New Roman"/>
          <w:b/>
          <w:bCs/>
          <w:sz w:val="27"/>
          <w:szCs w:val="27"/>
          <w:lang w:eastAsia="lv-LV"/>
        </w:rPr>
        <w:t>Attiecināmo izmaksu klasifikācija</w:t>
      </w:r>
    </w:p>
    <w:p w14:paraId="7130FE8D" w14:textId="77777777" w:rsidR="0008174C" w:rsidRPr="00045F2A" w:rsidRDefault="0008174C" w:rsidP="002525EA">
      <w:pPr>
        <w:spacing w:after="0" w:line="360" w:lineRule="auto"/>
        <w:ind w:firstLine="300"/>
        <w:rPr>
          <w:rFonts w:ascii="Times New Roman" w:eastAsia="Times New Roman" w:hAnsi="Times New Roman"/>
          <w:i/>
          <w:iCs/>
          <w:sz w:val="20"/>
          <w:szCs w:val="20"/>
          <w:lang w:eastAsia="lv-LV"/>
        </w:rPr>
      </w:pPr>
      <w:bookmarkStart w:id="0" w:name="p-479041"/>
      <w:bookmarkStart w:id="1" w:name="p1"/>
      <w:bookmarkEnd w:id="0"/>
      <w:bookmarkEnd w:id="1"/>
    </w:p>
    <w:p w14:paraId="7FA25836" w14:textId="0EF20433"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budžetā attiecināmās izmaksas var plānot divās izmaksu kategorijās:</w:t>
      </w:r>
    </w:p>
    <w:p w14:paraId="121F0C87" w14:textId="7FDE605C"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īstenošanas izmaksas;</w:t>
      </w:r>
    </w:p>
    <w:p w14:paraId="4C3042BA" w14:textId="4810B061"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administrēšanas izmaksas</w:t>
      </w:r>
      <w:r w:rsidR="00D37133">
        <w:rPr>
          <w:rFonts w:ascii="Times New Roman" w:eastAsia="Times New Roman" w:hAnsi="Times New Roman"/>
          <w:sz w:val="24"/>
          <w:szCs w:val="24"/>
          <w:lang w:eastAsia="lv-LV"/>
        </w:rPr>
        <w:t>;</w:t>
      </w:r>
    </w:p>
    <w:p w14:paraId="727CAF6F" w14:textId="172AB8C1"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u w:val="single"/>
          <w:lang w:eastAsia="lv-LV"/>
        </w:rPr>
        <w:t>Projekta īstenošanas izmaksās</w:t>
      </w:r>
      <w:r w:rsidRPr="00045F2A">
        <w:rPr>
          <w:rFonts w:ascii="Times New Roman" w:eastAsia="Times New Roman" w:hAnsi="Times New Roman"/>
          <w:sz w:val="24"/>
          <w:szCs w:val="24"/>
          <w:lang w:eastAsia="lv-LV"/>
        </w:rPr>
        <w:t xml:space="preserve"> ietilpst šādi izdevumi:</w:t>
      </w:r>
    </w:p>
    <w:p w14:paraId="34633BAC" w14:textId="25DF3056"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atalgojums ekspertam par projekta īstenošanu</w:t>
      </w:r>
      <w:r w:rsidR="00B73BE2">
        <w:rPr>
          <w:rStyle w:val="FootnoteReference"/>
          <w:rFonts w:ascii="Times New Roman" w:eastAsia="Times New Roman" w:hAnsi="Times New Roman"/>
          <w:sz w:val="24"/>
          <w:szCs w:val="24"/>
          <w:lang w:eastAsia="lv-LV"/>
        </w:rPr>
        <w:footnoteReference w:id="1"/>
      </w:r>
      <w:r w:rsidR="00C467E8">
        <w:rPr>
          <w:rFonts w:ascii="Times New Roman" w:eastAsia="Times New Roman" w:hAnsi="Times New Roman"/>
          <w:sz w:val="24"/>
          <w:szCs w:val="24"/>
          <w:lang w:eastAsia="lv-LV"/>
        </w:rPr>
        <w:t>;</w:t>
      </w:r>
    </w:p>
    <w:p w14:paraId="5DF5032F" w14:textId="2938A134"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dienas</w:t>
      </w:r>
      <w:r w:rsidR="00753C23">
        <w:rPr>
          <w:rFonts w:ascii="Times New Roman" w:eastAsia="Times New Roman" w:hAnsi="Times New Roman"/>
          <w:sz w:val="24"/>
          <w:szCs w:val="24"/>
          <w:lang w:eastAsia="lv-LV"/>
        </w:rPr>
        <w:t xml:space="preserve"> </w:t>
      </w:r>
      <w:r w:rsidRPr="00045F2A">
        <w:rPr>
          <w:rFonts w:ascii="Times New Roman" w:eastAsia="Times New Roman" w:hAnsi="Times New Roman"/>
          <w:sz w:val="24"/>
          <w:szCs w:val="24"/>
          <w:lang w:eastAsia="lv-LV"/>
        </w:rPr>
        <w:t>naudas un viesnīc</w:t>
      </w:r>
      <w:r w:rsidR="00753C23">
        <w:rPr>
          <w:rFonts w:ascii="Times New Roman" w:eastAsia="Times New Roman" w:hAnsi="Times New Roman"/>
          <w:sz w:val="24"/>
          <w:szCs w:val="24"/>
          <w:lang w:eastAsia="lv-LV"/>
        </w:rPr>
        <w:t>as</w:t>
      </w:r>
      <w:r w:rsidRPr="00045F2A">
        <w:rPr>
          <w:rFonts w:ascii="Times New Roman" w:eastAsia="Times New Roman" w:hAnsi="Times New Roman"/>
          <w:sz w:val="24"/>
          <w:szCs w:val="24"/>
          <w:lang w:eastAsia="lv-LV"/>
        </w:rPr>
        <w:t xml:space="preserve"> </w:t>
      </w:r>
      <w:r w:rsidR="00753C23">
        <w:rPr>
          <w:rFonts w:ascii="Times New Roman" w:eastAsia="Times New Roman" w:hAnsi="Times New Roman"/>
          <w:sz w:val="24"/>
          <w:szCs w:val="24"/>
          <w:lang w:eastAsia="lv-LV"/>
        </w:rPr>
        <w:t>(</w:t>
      </w:r>
      <w:r w:rsidR="00782DA8">
        <w:rPr>
          <w:rFonts w:ascii="Times New Roman" w:eastAsia="Times New Roman" w:hAnsi="Times New Roman"/>
          <w:sz w:val="24"/>
          <w:szCs w:val="24"/>
          <w:lang w:eastAsia="lv-LV"/>
        </w:rPr>
        <w:t>naktsmītnes</w:t>
      </w:r>
      <w:r w:rsidR="00753C23">
        <w:rPr>
          <w:rFonts w:ascii="Times New Roman" w:eastAsia="Times New Roman" w:hAnsi="Times New Roman"/>
          <w:sz w:val="24"/>
          <w:szCs w:val="24"/>
          <w:lang w:eastAsia="lv-LV"/>
        </w:rPr>
        <w:t>)</w:t>
      </w:r>
      <w:r w:rsidR="00782DA8" w:rsidRPr="00045F2A">
        <w:rPr>
          <w:rFonts w:ascii="Times New Roman" w:eastAsia="Times New Roman" w:hAnsi="Times New Roman"/>
          <w:sz w:val="24"/>
          <w:szCs w:val="24"/>
          <w:lang w:eastAsia="lv-LV"/>
        </w:rPr>
        <w:t xml:space="preserve"> </w:t>
      </w:r>
      <w:r w:rsidRPr="00045F2A">
        <w:rPr>
          <w:rFonts w:ascii="Times New Roman" w:eastAsia="Times New Roman" w:hAnsi="Times New Roman"/>
          <w:sz w:val="24"/>
          <w:szCs w:val="24"/>
          <w:lang w:eastAsia="lv-LV"/>
        </w:rPr>
        <w:t>izdevumi ekspertiem</w:t>
      </w:r>
      <w:r w:rsidR="00B73BE2">
        <w:rPr>
          <w:rStyle w:val="FootnoteReference"/>
          <w:rFonts w:ascii="Times New Roman" w:eastAsia="Times New Roman" w:hAnsi="Times New Roman"/>
          <w:sz w:val="24"/>
          <w:szCs w:val="24"/>
          <w:lang w:eastAsia="lv-LV"/>
        </w:rPr>
        <w:footnoteReference w:id="2"/>
      </w:r>
      <w:r w:rsidR="00C86F5D">
        <w:rPr>
          <w:rFonts w:ascii="Times New Roman" w:eastAsia="Times New Roman" w:hAnsi="Times New Roman"/>
          <w:sz w:val="24"/>
          <w:szCs w:val="24"/>
          <w:lang w:eastAsia="lv-LV"/>
        </w:rPr>
        <w:t>;</w:t>
      </w:r>
    </w:p>
    <w:p w14:paraId="1B8809C7" w14:textId="4B8AC92B" w:rsidR="002525EA" w:rsidRPr="00045F2A" w:rsidRDefault="00B620A7"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ceļojumu</w:t>
      </w:r>
      <w:r w:rsidR="002525EA" w:rsidRPr="00045F2A">
        <w:rPr>
          <w:rFonts w:ascii="Times New Roman" w:eastAsia="Times New Roman" w:hAnsi="Times New Roman"/>
          <w:sz w:val="24"/>
          <w:szCs w:val="24"/>
          <w:lang w:eastAsia="lv-LV"/>
        </w:rPr>
        <w:t xml:space="preserve"> apdrošināšana</w:t>
      </w:r>
      <w:r w:rsidR="00C467E8">
        <w:rPr>
          <w:rStyle w:val="FootnoteReference"/>
          <w:rFonts w:ascii="Times New Roman" w:eastAsia="Times New Roman" w:hAnsi="Times New Roman"/>
          <w:sz w:val="24"/>
          <w:szCs w:val="24"/>
          <w:lang w:eastAsia="lv-LV"/>
        </w:rPr>
        <w:footnoteReference w:id="3"/>
      </w:r>
      <w:r w:rsidR="00C86F5D">
        <w:rPr>
          <w:rFonts w:ascii="Times New Roman" w:eastAsia="Times New Roman" w:hAnsi="Times New Roman"/>
          <w:sz w:val="24"/>
          <w:szCs w:val="24"/>
          <w:lang w:eastAsia="lv-LV"/>
        </w:rPr>
        <w:t>.</w:t>
      </w:r>
      <w:r w:rsidR="002525EA" w:rsidRPr="00045F2A">
        <w:rPr>
          <w:rFonts w:ascii="Times New Roman" w:eastAsia="Times New Roman" w:hAnsi="Times New Roman"/>
          <w:sz w:val="24"/>
          <w:szCs w:val="24"/>
          <w:lang w:eastAsia="lv-LV"/>
        </w:rPr>
        <w:t xml:space="preserve"> </w:t>
      </w:r>
      <w:r w:rsidR="00C467E8">
        <w:rPr>
          <w:rFonts w:ascii="Times New Roman" w:eastAsia="Times New Roman" w:hAnsi="Times New Roman"/>
          <w:sz w:val="24"/>
          <w:szCs w:val="24"/>
          <w:lang w:eastAsia="lv-LV"/>
        </w:rPr>
        <w:t>Ceļojumu</w:t>
      </w:r>
      <w:r w:rsidR="002525EA" w:rsidRPr="00045F2A">
        <w:rPr>
          <w:rFonts w:ascii="Times New Roman" w:eastAsia="Times New Roman" w:hAnsi="Times New Roman"/>
          <w:sz w:val="24"/>
          <w:szCs w:val="24"/>
          <w:lang w:eastAsia="lv-LV"/>
        </w:rPr>
        <w:t xml:space="preserve"> apdrošināšanu var paredzēt:</w:t>
      </w:r>
    </w:p>
    <w:p w14:paraId="4CEBD9C1" w14:textId="13DB508A"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Latvijas (nacionālajam) ekspertam uz laiku, kad viņš projekta ietvaros uzturas ārvalstī;</w:t>
      </w:r>
    </w:p>
    <w:p w14:paraId="0F0D9F60" w14:textId="7662C26D"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ārvalsts ekspertam uz laiku, kad viņš projekta ietvaros uzturas Latvijas Republikā vai ārvalstī, kas nav viņa dzīvesvietas valsts;</w:t>
      </w:r>
    </w:p>
    <w:p w14:paraId="18A7ECAF" w14:textId="662DCB92"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mērķa grupas dalībniekam (ārvalstniekam) uz laiku, kad viņš projekta ietvaros uzturas Latvijas Republikā vai ārvalstī, kas nav viņa dzīvesvietas valsts;</w:t>
      </w:r>
    </w:p>
    <w:p w14:paraId="7D2FC1FF" w14:textId="3490FDEF" w:rsidR="002525EA" w:rsidRPr="00045F2A" w:rsidRDefault="00782DA8"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ceļa (</w:t>
      </w:r>
      <w:r w:rsidR="002525EA" w:rsidRPr="00045F2A">
        <w:rPr>
          <w:rFonts w:ascii="Times New Roman" w:eastAsia="Times New Roman" w:hAnsi="Times New Roman"/>
          <w:sz w:val="24"/>
          <w:szCs w:val="24"/>
          <w:lang w:eastAsia="lv-LV"/>
        </w:rPr>
        <w:t>transporta</w:t>
      </w:r>
      <w:r>
        <w:rPr>
          <w:rFonts w:ascii="Times New Roman" w:eastAsia="Times New Roman" w:hAnsi="Times New Roman"/>
          <w:sz w:val="24"/>
          <w:szCs w:val="24"/>
          <w:lang w:eastAsia="lv-LV"/>
        </w:rPr>
        <w:t>) izdevumi</w:t>
      </w:r>
      <w:r w:rsidR="007075BC">
        <w:rPr>
          <w:rStyle w:val="FootnoteReference"/>
          <w:rFonts w:ascii="Times New Roman" w:eastAsia="Times New Roman" w:hAnsi="Times New Roman"/>
          <w:sz w:val="24"/>
          <w:szCs w:val="24"/>
          <w:lang w:eastAsia="lv-LV"/>
        </w:rPr>
        <w:footnoteReference w:id="4"/>
      </w:r>
      <w:r w:rsidR="007075BC">
        <w:rPr>
          <w:rFonts w:ascii="Times New Roman" w:eastAsia="Times New Roman" w:hAnsi="Times New Roman"/>
          <w:sz w:val="24"/>
          <w:szCs w:val="24"/>
          <w:lang w:eastAsia="lv-LV"/>
        </w:rPr>
        <w:t>:</w:t>
      </w:r>
    </w:p>
    <w:p w14:paraId="2C325E55" w14:textId="3DE39339" w:rsidR="002525EA" w:rsidRPr="00045F2A" w:rsidRDefault="00F16BEA" w:rsidP="00F16BEA">
      <w:pPr>
        <w:pStyle w:val="ListParagraph"/>
        <w:numPr>
          <w:ilvl w:val="2"/>
          <w:numId w:val="3"/>
        </w:numPr>
        <w:spacing w:after="0" w:line="360" w:lineRule="auto"/>
        <w:jc w:val="both"/>
        <w:rPr>
          <w:rFonts w:ascii="Times New Roman" w:eastAsia="Times New Roman" w:hAnsi="Times New Roman"/>
          <w:sz w:val="24"/>
          <w:szCs w:val="24"/>
          <w:lang w:eastAsia="lv-LV"/>
        </w:rPr>
      </w:pPr>
      <w:r w:rsidRPr="00F16BEA">
        <w:rPr>
          <w:rFonts w:ascii="Times New Roman" w:eastAsia="Times New Roman" w:hAnsi="Times New Roman"/>
          <w:sz w:val="24"/>
          <w:szCs w:val="24"/>
          <w:lang w:eastAsia="lv-LV"/>
        </w:rPr>
        <w:t>dzelzceļa transportu, gaisa transportu, ūdenstransportu, starpvalstu koplietošanas autotransportu (autobusu)</w:t>
      </w:r>
      <w:r>
        <w:rPr>
          <w:rFonts w:ascii="Times New Roman" w:eastAsia="Times New Roman" w:hAnsi="Times New Roman"/>
          <w:sz w:val="24"/>
          <w:szCs w:val="24"/>
          <w:lang w:eastAsia="lv-LV"/>
        </w:rPr>
        <w:t xml:space="preserve"> </w:t>
      </w:r>
      <w:r w:rsidR="002525EA" w:rsidRPr="00045F2A">
        <w:rPr>
          <w:rFonts w:ascii="Times New Roman" w:eastAsia="Times New Roman" w:hAnsi="Times New Roman"/>
          <w:sz w:val="24"/>
          <w:szCs w:val="24"/>
          <w:lang w:eastAsia="lv-LV"/>
        </w:rPr>
        <w:t>biļetes drīkst iegādāties tikai ekonomiskajā klasē;</w:t>
      </w:r>
    </w:p>
    <w:p w14:paraId="62393FDE" w14:textId="18374A56" w:rsidR="006D79A2" w:rsidRDefault="006D79A2" w:rsidP="006D79A2">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izdevumus par taksometr</w:t>
      </w:r>
      <w:r>
        <w:rPr>
          <w:rFonts w:ascii="Times New Roman" w:eastAsia="Times New Roman" w:hAnsi="Times New Roman"/>
          <w:sz w:val="24"/>
          <w:szCs w:val="24"/>
          <w:lang w:eastAsia="lv-LV"/>
        </w:rPr>
        <w:t>u</w:t>
      </w:r>
      <w:r>
        <w:rPr>
          <w:rStyle w:val="FootnoteReference"/>
          <w:rFonts w:ascii="Times New Roman" w:eastAsia="Times New Roman" w:hAnsi="Times New Roman"/>
          <w:sz w:val="24"/>
          <w:szCs w:val="24"/>
          <w:lang w:eastAsia="lv-LV"/>
        </w:rPr>
        <w:footnoteReference w:id="5"/>
      </w:r>
      <w:r w:rsidR="003C3D8B">
        <w:rPr>
          <w:rFonts w:ascii="Times New Roman" w:eastAsia="Times New Roman" w:hAnsi="Times New Roman"/>
          <w:sz w:val="24"/>
          <w:szCs w:val="24"/>
          <w:lang w:eastAsia="lv-LV"/>
        </w:rPr>
        <w:t>;</w:t>
      </w:r>
    </w:p>
    <w:p w14:paraId="23599EC0" w14:textId="20EE7E9E" w:rsidR="002525EA" w:rsidRPr="00045F2A" w:rsidRDefault="00F16B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izdevumi, kas </w:t>
      </w:r>
      <w:r w:rsidRPr="00F16BEA">
        <w:rPr>
          <w:rFonts w:ascii="Times New Roman" w:eastAsia="Times New Roman" w:hAnsi="Times New Roman"/>
          <w:sz w:val="24"/>
          <w:szCs w:val="24"/>
          <w:lang w:eastAsia="lv-LV"/>
        </w:rPr>
        <w:t>saistīti ar vīzu kārtošanu</w:t>
      </w:r>
      <w:r>
        <w:rPr>
          <w:rFonts w:ascii="Times New Roman" w:eastAsia="Times New Roman" w:hAnsi="Times New Roman"/>
          <w:sz w:val="24"/>
          <w:szCs w:val="24"/>
          <w:lang w:eastAsia="lv-LV"/>
        </w:rPr>
        <w:t>;</w:t>
      </w:r>
    </w:p>
    <w:p w14:paraId="6EE01D13" w14:textId="6FE58249"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telpu noma;</w:t>
      </w:r>
    </w:p>
    <w:p w14:paraId="26C85A17" w14:textId="3E5C6D14"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par pakalpojumiem, kas nepieciešami projekta īstenošanai (tai skaitā ēdināšana, sakaru pakalpojumi</w:t>
      </w:r>
      <w:r w:rsidR="00134914">
        <w:rPr>
          <w:rFonts w:ascii="Times New Roman" w:eastAsia="Times New Roman" w:hAnsi="Times New Roman"/>
          <w:sz w:val="24"/>
          <w:szCs w:val="24"/>
          <w:lang w:eastAsia="lv-LV"/>
        </w:rPr>
        <w:t>)</w:t>
      </w:r>
      <w:r w:rsidRPr="00045F2A">
        <w:rPr>
          <w:rFonts w:ascii="Times New Roman" w:eastAsia="Times New Roman" w:hAnsi="Times New Roman"/>
          <w:sz w:val="24"/>
          <w:szCs w:val="24"/>
          <w:lang w:eastAsia="lv-LV"/>
        </w:rPr>
        <w:t>;</w:t>
      </w:r>
    </w:p>
    <w:p w14:paraId="0035375D" w14:textId="77777777" w:rsidR="00782DA8" w:rsidRPr="00FC061D" w:rsidRDefault="00782DA8"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lastRenderedPageBreak/>
        <w:t xml:space="preserve">izdevumi </w:t>
      </w:r>
      <w:r w:rsidRPr="00575058">
        <w:rPr>
          <w:rFonts w:ascii="Times New Roman" w:eastAsia="Times New Roman" w:hAnsi="Times New Roman"/>
          <w:sz w:val="24"/>
          <w:szCs w:val="24"/>
          <w:lang w:eastAsia="lv-LV"/>
        </w:rPr>
        <w:t>priekšmetu</w:t>
      </w:r>
      <w:r w:rsidRPr="00045F2A">
        <w:rPr>
          <w:rFonts w:ascii="Times New Roman" w:eastAsia="Times New Roman" w:hAnsi="Times New Roman"/>
          <w:sz w:val="24"/>
          <w:szCs w:val="24"/>
          <w:lang w:eastAsia="lv-LV"/>
        </w:rPr>
        <w:t xml:space="preserve"> (preces, kuru vērtība </w:t>
      </w:r>
      <w:r w:rsidRPr="00FC061D">
        <w:rPr>
          <w:rFonts w:ascii="Times New Roman" w:eastAsia="Times New Roman" w:hAnsi="Times New Roman"/>
          <w:sz w:val="24"/>
          <w:szCs w:val="24"/>
          <w:lang w:eastAsia="lv-LV"/>
        </w:rPr>
        <w:t xml:space="preserve">nav augstāka par 500,00 </w:t>
      </w:r>
      <w:proofErr w:type="spellStart"/>
      <w:r w:rsidRPr="00FC061D">
        <w:rPr>
          <w:rFonts w:ascii="Times New Roman" w:eastAsia="Times New Roman" w:hAnsi="Times New Roman"/>
          <w:i/>
          <w:iCs/>
          <w:sz w:val="24"/>
          <w:szCs w:val="24"/>
          <w:lang w:eastAsia="lv-LV"/>
        </w:rPr>
        <w:t>euro</w:t>
      </w:r>
      <w:proofErr w:type="spellEnd"/>
      <w:r w:rsidRPr="00FC061D">
        <w:rPr>
          <w:rFonts w:ascii="Times New Roman" w:eastAsia="Times New Roman" w:hAnsi="Times New Roman"/>
          <w:sz w:val="24"/>
          <w:szCs w:val="24"/>
          <w:lang w:eastAsia="lv-LV"/>
        </w:rPr>
        <w:t xml:space="preserve"> un kuru </w:t>
      </w:r>
      <w:r w:rsidRPr="00D532F4">
        <w:rPr>
          <w:rFonts w:ascii="Times New Roman" w:eastAsia="Times New Roman" w:hAnsi="Times New Roman"/>
          <w:sz w:val="24"/>
          <w:szCs w:val="24"/>
          <w:lang w:eastAsia="lv-LV"/>
        </w:rPr>
        <w:t>kalpošanas ilgums nepārsniedz vienu gadu</w:t>
      </w:r>
      <w:r w:rsidRPr="00FC061D">
        <w:rPr>
          <w:rFonts w:ascii="Times New Roman" w:eastAsia="Times New Roman" w:hAnsi="Times New Roman"/>
          <w:sz w:val="24"/>
          <w:szCs w:val="24"/>
          <w:lang w:eastAsia="lv-LV"/>
        </w:rPr>
        <w:t>) iegādei, kas nepieciešamas projekta mērķa sasniegšanai un vienlaikus netiek izmantota kā tehniskais atbalsts projekta īstenotāja administratīvo funkciju nodrošināšanai;</w:t>
      </w:r>
    </w:p>
    <w:p w14:paraId="101378CC" w14:textId="3FF1A682"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kancelejas preču iegādei;</w:t>
      </w:r>
    </w:p>
    <w:p w14:paraId="560DDCD6" w14:textId="11F16783"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reprezentācijas izdevumi;</w:t>
      </w:r>
    </w:p>
    <w:p w14:paraId="6CDDD674" w14:textId="431EF59E"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informācijas un publicitātes izdevumi (piemēram, informatīvie materiāli, publikācijas presē);</w:t>
      </w:r>
    </w:p>
    <w:p w14:paraId="157922BE" w14:textId="0C070BE3"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maksājumi bankai par jaunu kontu atvēršanu un komisijas maksas</w:t>
      </w:r>
      <w:r w:rsidR="00C86F5D">
        <w:rPr>
          <w:rFonts w:ascii="Times New Roman" w:eastAsia="Times New Roman" w:hAnsi="Times New Roman"/>
          <w:sz w:val="24"/>
          <w:szCs w:val="24"/>
          <w:lang w:eastAsia="lv-LV"/>
        </w:rPr>
        <w:t>.</w:t>
      </w:r>
    </w:p>
    <w:p w14:paraId="03280DB4" w14:textId="4E1868A7" w:rsidR="002525EA" w:rsidRPr="00045F2A" w:rsidRDefault="002525EA" w:rsidP="004D5B10">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u w:val="single"/>
          <w:lang w:eastAsia="lv-LV"/>
        </w:rPr>
        <w:t>Projekta administrēšanas izmaksās</w:t>
      </w:r>
      <w:r w:rsidRPr="00045F2A">
        <w:rPr>
          <w:rFonts w:ascii="Times New Roman" w:eastAsia="Times New Roman" w:hAnsi="Times New Roman"/>
          <w:sz w:val="24"/>
          <w:szCs w:val="24"/>
          <w:lang w:eastAsia="lv-LV"/>
        </w:rPr>
        <w:t xml:space="preserve"> ietilpst šādi izdevumi:</w:t>
      </w:r>
    </w:p>
    <w:p w14:paraId="32A25A8E" w14:textId="1973ACC8"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atalgojums projekta administratīvajam personālam</w:t>
      </w:r>
      <w:r w:rsidR="0075614A">
        <w:rPr>
          <w:rStyle w:val="FootnoteReference"/>
          <w:rFonts w:ascii="Times New Roman" w:eastAsia="Times New Roman" w:hAnsi="Times New Roman"/>
          <w:sz w:val="24"/>
          <w:szCs w:val="24"/>
          <w:lang w:eastAsia="lv-LV"/>
        </w:rPr>
        <w:footnoteReference w:id="6"/>
      </w:r>
      <w:r w:rsidRPr="00045F2A">
        <w:rPr>
          <w:rFonts w:ascii="Times New Roman" w:eastAsia="Times New Roman" w:hAnsi="Times New Roman"/>
          <w:sz w:val="24"/>
          <w:szCs w:val="24"/>
          <w:lang w:eastAsia="lv-LV"/>
        </w:rPr>
        <w:t>:</w:t>
      </w:r>
    </w:p>
    <w:p w14:paraId="1978BADA" w14:textId="5204F705" w:rsidR="002525EA" w:rsidRPr="00045F2A"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vadītājam;</w:t>
      </w:r>
    </w:p>
    <w:p w14:paraId="47A50FB1" w14:textId="0E5FE80A" w:rsidR="002525EA" w:rsidRPr="00045F2A"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koordinatoram;</w:t>
      </w:r>
    </w:p>
    <w:p w14:paraId="3EB2AB83" w14:textId="3A77E0C6" w:rsidR="007075BC" w:rsidRPr="00C22EB8"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C22EB8">
        <w:rPr>
          <w:rFonts w:ascii="Times New Roman" w:eastAsia="Times New Roman" w:hAnsi="Times New Roman"/>
          <w:sz w:val="24"/>
          <w:szCs w:val="24"/>
          <w:lang w:eastAsia="lv-LV"/>
        </w:rPr>
        <w:t>grāmatvedim;</w:t>
      </w:r>
    </w:p>
    <w:p w14:paraId="1E37BEA8" w14:textId="1D676E24" w:rsidR="002525EA" w:rsidRPr="007075BC" w:rsidRDefault="002525EA" w:rsidP="007075BC">
      <w:pPr>
        <w:pStyle w:val="ListParagraph"/>
        <w:numPr>
          <w:ilvl w:val="2"/>
          <w:numId w:val="3"/>
        </w:numPr>
        <w:spacing w:after="0" w:line="360" w:lineRule="auto"/>
        <w:jc w:val="both"/>
        <w:rPr>
          <w:rFonts w:ascii="Times New Roman" w:eastAsia="Times New Roman" w:hAnsi="Times New Roman"/>
          <w:sz w:val="24"/>
          <w:szCs w:val="24"/>
          <w:lang w:eastAsia="lv-LV"/>
        </w:rPr>
      </w:pPr>
      <w:r w:rsidRPr="007075BC">
        <w:rPr>
          <w:rFonts w:ascii="Times New Roman" w:eastAsia="Times New Roman" w:hAnsi="Times New Roman"/>
          <w:sz w:val="24"/>
          <w:szCs w:val="24"/>
          <w:lang w:eastAsia="lv-LV"/>
        </w:rPr>
        <w:t>citam projekta administrēšanā iesaistītajam personālam</w:t>
      </w:r>
      <w:r w:rsidR="00E158B8">
        <w:rPr>
          <w:rFonts w:ascii="Times New Roman" w:eastAsia="Times New Roman" w:hAnsi="Times New Roman"/>
          <w:sz w:val="24"/>
          <w:szCs w:val="24"/>
          <w:lang w:eastAsia="lv-LV"/>
        </w:rPr>
        <w:t>;</w:t>
      </w:r>
    </w:p>
    <w:p w14:paraId="47C77144" w14:textId="465B80E5" w:rsidR="00F16BEA" w:rsidRPr="005E202D" w:rsidRDefault="00ED35B6"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DC4149">
        <w:rPr>
          <w:rFonts w:ascii="Times New Roman" w:eastAsia="Times New Roman" w:hAnsi="Times New Roman"/>
          <w:sz w:val="24"/>
          <w:szCs w:val="24"/>
          <w:lang w:eastAsia="lv-LV"/>
        </w:rPr>
        <w:t>uz projektu attiecināmos sakaru izdevumus, ēku, biroja telpu nomu un komunālos izdevumus, biroja iekārtas, inventāra un aparatūras remonta, tehniskās apkalpošanas izmaksas, biroja iekārtu un inventāra īri un nomu, citus ar projekta administ</w:t>
      </w:r>
      <w:r>
        <w:rPr>
          <w:rFonts w:ascii="Times New Roman" w:eastAsia="Times New Roman" w:hAnsi="Times New Roman"/>
          <w:sz w:val="24"/>
          <w:szCs w:val="24"/>
          <w:lang w:eastAsia="lv-LV"/>
        </w:rPr>
        <w:t>rēšanu saistītos pakalpojumus.</w:t>
      </w:r>
    </w:p>
    <w:sectPr w:rsidR="00F16BEA" w:rsidRPr="005E202D" w:rsidSect="00797580">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3ACA" w14:textId="77777777" w:rsidR="009746A3" w:rsidRDefault="009746A3" w:rsidP="00392FD8">
      <w:pPr>
        <w:spacing w:after="0" w:line="240" w:lineRule="auto"/>
      </w:pPr>
      <w:r>
        <w:separator/>
      </w:r>
    </w:p>
  </w:endnote>
  <w:endnote w:type="continuationSeparator" w:id="0">
    <w:p w14:paraId="05416469" w14:textId="77777777" w:rsidR="009746A3" w:rsidRDefault="009746A3" w:rsidP="0039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A1A0" w14:textId="3EDB7A10" w:rsidR="00392FD8" w:rsidRPr="00797580" w:rsidRDefault="00392FD8" w:rsidP="00797580">
    <w:pPr>
      <w:pStyle w:val="Footer"/>
      <w:spacing w:after="0" w:line="240" w:lineRule="auto"/>
      <w:jc w:val="center"/>
      <w:rPr>
        <w:rFonts w:ascii="Times New Roman" w:hAnsi="Times New Roman"/>
        <w:sz w:val="24"/>
        <w:szCs w:val="24"/>
      </w:rPr>
    </w:pPr>
    <w:r w:rsidRPr="00797580">
      <w:rPr>
        <w:rFonts w:ascii="Times New Roman" w:hAnsi="Times New Roman"/>
        <w:sz w:val="24"/>
        <w:szCs w:val="24"/>
      </w:rPr>
      <w:fldChar w:fldCharType="begin"/>
    </w:r>
    <w:r w:rsidRPr="00797580">
      <w:rPr>
        <w:rFonts w:ascii="Times New Roman" w:hAnsi="Times New Roman"/>
        <w:sz w:val="24"/>
        <w:szCs w:val="24"/>
      </w:rPr>
      <w:instrText xml:space="preserve"> PAGE   \* MERGEFORMAT </w:instrText>
    </w:r>
    <w:r w:rsidRPr="00797580">
      <w:rPr>
        <w:rFonts w:ascii="Times New Roman" w:hAnsi="Times New Roman"/>
        <w:sz w:val="24"/>
        <w:szCs w:val="24"/>
      </w:rPr>
      <w:fldChar w:fldCharType="separate"/>
    </w:r>
    <w:r w:rsidR="006D79A2">
      <w:rPr>
        <w:rFonts w:ascii="Times New Roman" w:hAnsi="Times New Roman"/>
        <w:noProof/>
        <w:sz w:val="24"/>
        <w:szCs w:val="24"/>
      </w:rPr>
      <w:t>2</w:t>
    </w:r>
    <w:r w:rsidRPr="00797580">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4F99" w14:textId="77777777" w:rsidR="009746A3" w:rsidRDefault="009746A3" w:rsidP="00392FD8">
      <w:pPr>
        <w:spacing w:after="0" w:line="240" w:lineRule="auto"/>
      </w:pPr>
      <w:r>
        <w:separator/>
      </w:r>
    </w:p>
  </w:footnote>
  <w:footnote w:type="continuationSeparator" w:id="0">
    <w:p w14:paraId="112E14AA" w14:textId="77777777" w:rsidR="009746A3" w:rsidRDefault="009746A3" w:rsidP="00392FD8">
      <w:pPr>
        <w:spacing w:after="0" w:line="240" w:lineRule="auto"/>
      </w:pPr>
      <w:r>
        <w:continuationSeparator/>
      </w:r>
    </w:p>
  </w:footnote>
  <w:footnote w:id="1">
    <w:p w14:paraId="575165D5" w14:textId="1343795F" w:rsidR="00B73BE2" w:rsidRPr="00C22EB8" w:rsidRDefault="00B73BE2" w:rsidP="00485717">
      <w:pPr>
        <w:pStyle w:val="FootnoteText"/>
        <w:spacing w:after="0"/>
        <w:jc w:val="both"/>
        <w:rPr>
          <w:rFonts w:ascii="Times New Roman" w:hAnsi="Times New Roman"/>
        </w:rPr>
      </w:pPr>
      <w:r w:rsidRPr="00C22EB8">
        <w:rPr>
          <w:rStyle w:val="FootnoteReference"/>
          <w:rFonts w:ascii="Times New Roman" w:hAnsi="Times New Roman"/>
        </w:rPr>
        <w:footnoteRef/>
      </w:r>
      <w:r w:rsidRPr="00C22EB8">
        <w:rPr>
          <w:rFonts w:ascii="Times New Roman" w:hAnsi="Times New Roman"/>
        </w:rPr>
        <w:t xml:space="preserve"> Ministru kabineta 2010. gada 27. jūlija noteikumi Nr. 672 "Noteikumi par attīstības sadarbības projekta īstenošanā iesaistītās personas maksimālo atlīdzību, dienas naudu un viesnīcas (naktsmītnes) izdevumu apmēru"</w:t>
      </w:r>
      <w:r w:rsidR="007075BC">
        <w:rPr>
          <w:rFonts w:ascii="Times New Roman" w:hAnsi="Times New Roman"/>
        </w:rPr>
        <w:t>.</w:t>
      </w:r>
    </w:p>
  </w:footnote>
  <w:footnote w:id="2">
    <w:p w14:paraId="5180A6B4" w14:textId="01B69F8C" w:rsidR="00B73BE2" w:rsidRPr="00C22EB8" w:rsidRDefault="00B73BE2" w:rsidP="00485717">
      <w:pPr>
        <w:pStyle w:val="FootnoteText"/>
        <w:spacing w:after="0"/>
        <w:jc w:val="both"/>
        <w:rPr>
          <w:rFonts w:ascii="Times New Roman" w:hAnsi="Times New Roman"/>
        </w:rPr>
      </w:pPr>
      <w:r w:rsidRPr="00C22EB8">
        <w:rPr>
          <w:rStyle w:val="FootnoteReference"/>
          <w:rFonts w:ascii="Times New Roman" w:hAnsi="Times New Roman"/>
        </w:rPr>
        <w:footnoteRef/>
      </w:r>
      <w:r w:rsidRPr="00C22EB8">
        <w:rPr>
          <w:rFonts w:ascii="Times New Roman" w:hAnsi="Times New Roman"/>
        </w:rPr>
        <w:t xml:space="preserve"> Ministru kabineta 2010. gada 12. oktobra noteikumi Nr. 969 </w:t>
      </w:r>
      <w:r w:rsidR="003C3D8B" w:rsidRPr="00C22EB8">
        <w:rPr>
          <w:rFonts w:ascii="Times New Roman" w:hAnsi="Times New Roman"/>
        </w:rPr>
        <w:t>"</w:t>
      </w:r>
      <w:r w:rsidRPr="00C22EB8">
        <w:rPr>
          <w:rFonts w:ascii="Times New Roman" w:hAnsi="Times New Roman"/>
        </w:rPr>
        <w:t>Kārtība, kādā atlīdzināmi ar komandējumiem saistītie izdevumi</w:t>
      </w:r>
      <w:r w:rsidR="003C3D8B" w:rsidRPr="00C22EB8">
        <w:rPr>
          <w:rFonts w:ascii="Times New Roman" w:hAnsi="Times New Roman"/>
        </w:rPr>
        <w:t>"</w:t>
      </w:r>
      <w:r w:rsidRPr="00C22EB8">
        <w:rPr>
          <w:rFonts w:ascii="Times New Roman" w:hAnsi="Times New Roman"/>
        </w:rPr>
        <w:t xml:space="preserve"> un Ministru kabineta 2010. gada 27. jūlija noteikumi Nr. 672</w:t>
      </w:r>
      <w:r w:rsidR="00485717">
        <w:rPr>
          <w:rFonts w:ascii="Times New Roman" w:hAnsi="Times New Roman"/>
        </w:rPr>
        <w:t xml:space="preserve"> </w:t>
      </w:r>
      <w:r w:rsidR="00485717" w:rsidRPr="00C22EB8">
        <w:rPr>
          <w:rFonts w:ascii="Times New Roman" w:hAnsi="Times New Roman"/>
        </w:rPr>
        <w:t>"Noteikumi par attīstības sadarbības projekta īstenošanā iesaistītās personas maksimālo atlīdzību, dienas naudu un viesnīcas (naktsmītnes) izdevumu apmēru"</w:t>
      </w:r>
      <w:r w:rsidR="00485717">
        <w:rPr>
          <w:rFonts w:ascii="Times New Roman" w:hAnsi="Times New Roman"/>
        </w:rPr>
        <w:t>.</w:t>
      </w:r>
    </w:p>
  </w:footnote>
  <w:footnote w:id="3">
    <w:p w14:paraId="7840526E" w14:textId="510F1FCF" w:rsidR="00C467E8" w:rsidRDefault="00C467E8" w:rsidP="00485717">
      <w:pPr>
        <w:pStyle w:val="FootnoteText"/>
        <w:spacing w:after="0"/>
        <w:jc w:val="both"/>
      </w:pPr>
      <w:r w:rsidRPr="00C22EB8">
        <w:rPr>
          <w:rStyle w:val="FootnoteReference"/>
          <w:rFonts w:ascii="Times New Roman" w:hAnsi="Times New Roman"/>
        </w:rPr>
        <w:footnoteRef/>
      </w:r>
      <w:r w:rsidRPr="00C22EB8">
        <w:rPr>
          <w:rFonts w:ascii="Times New Roman" w:hAnsi="Times New Roman"/>
        </w:rPr>
        <w:t xml:space="preserve"> Ministru kabineta 2010. gada 12. oktobra noteikumi Nr. 969</w:t>
      </w:r>
      <w:r w:rsidR="00485717">
        <w:rPr>
          <w:rFonts w:ascii="Times New Roman" w:hAnsi="Times New Roman"/>
        </w:rPr>
        <w:t xml:space="preserve"> </w:t>
      </w:r>
      <w:r w:rsidR="00485717" w:rsidRPr="00C22EB8">
        <w:rPr>
          <w:rFonts w:ascii="Times New Roman" w:hAnsi="Times New Roman"/>
        </w:rPr>
        <w:t>"Kārtība, kādā atlīdzināmi ar komandējumiem saistītie izdevumi"</w:t>
      </w:r>
    </w:p>
  </w:footnote>
  <w:footnote w:id="4">
    <w:p w14:paraId="6355BDB7" w14:textId="1BAC6E84" w:rsidR="007075BC" w:rsidRDefault="007075BC" w:rsidP="00485717">
      <w:pPr>
        <w:pStyle w:val="FootnoteText"/>
        <w:spacing w:after="0"/>
        <w:jc w:val="both"/>
      </w:pPr>
      <w:r w:rsidRPr="002E3BAE">
        <w:rPr>
          <w:rStyle w:val="FootnoteReference"/>
          <w:rFonts w:ascii="Times New Roman" w:hAnsi="Times New Roman"/>
        </w:rPr>
        <w:footnoteRef/>
      </w:r>
      <w:r w:rsidRPr="002E3BAE">
        <w:rPr>
          <w:rFonts w:ascii="Times New Roman" w:hAnsi="Times New Roman"/>
        </w:rPr>
        <w:t xml:space="preserve"> </w:t>
      </w:r>
      <w:r w:rsidRPr="00C22EB8">
        <w:rPr>
          <w:rFonts w:ascii="Times New Roman" w:hAnsi="Times New Roman"/>
        </w:rPr>
        <w:t>Ministru kabineta 2010. gada 12. oktobra noteikumi Nr. 969</w:t>
      </w:r>
      <w:r w:rsidR="00485717">
        <w:rPr>
          <w:rFonts w:ascii="Times New Roman" w:hAnsi="Times New Roman"/>
        </w:rPr>
        <w:t xml:space="preserve"> </w:t>
      </w:r>
      <w:r w:rsidR="00485717" w:rsidRPr="00C22EB8">
        <w:rPr>
          <w:rFonts w:ascii="Times New Roman" w:hAnsi="Times New Roman"/>
        </w:rPr>
        <w:t>"Kārtība, kādā atlīdzināmi ar komandējumiem saistītie izdevumi"</w:t>
      </w:r>
    </w:p>
  </w:footnote>
  <w:footnote w:id="5">
    <w:p w14:paraId="49542228" w14:textId="61965CB3" w:rsidR="006D79A2" w:rsidRDefault="006D79A2" w:rsidP="00485717">
      <w:pPr>
        <w:pStyle w:val="FootnoteText"/>
        <w:spacing w:after="0"/>
        <w:jc w:val="both"/>
      </w:pPr>
      <w:r w:rsidRPr="002E3BAE">
        <w:rPr>
          <w:rStyle w:val="FootnoteReference"/>
          <w:rFonts w:ascii="Times New Roman" w:hAnsi="Times New Roman"/>
        </w:rPr>
        <w:footnoteRef/>
      </w:r>
      <w:r>
        <w:t xml:space="preserve"> </w:t>
      </w:r>
      <w:r w:rsidRPr="00C22EB8">
        <w:rPr>
          <w:rFonts w:ascii="Times New Roman" w:hAnsi="Times New Roman"/>
        </w:rPr>
        <w:t>Ministru kabineta 2010. gada 12. oktobra noteikumi Nr. 969</w:t>
      </w:r>
      <w:r w:rsidR="00485717">
        <w:rPr>
          <w:rFonts w:ascii="Times New Roman" w:hAnsi="Times New Roman"/>
        </w:rPr>
        <w:t xml:space="preserve"> </w:t>
      </w:r>
      <w:r w:rsidR="00485717" w:rsidRPr="00C22EB8">
        <w:rPr>
          <w:rFonts w:ascii="Times New Roman" w:hAnsi="Times New Roman"/>
        </w:rPr>
        <w:t>"Kārtība, kādā atlīdzināmi ar komandējumiem saistītie izdevumi"</w:t>
      </w:r>
    </w:p>
  </w:footnote>
  <w:footnote w:id="6">
    <w:p w14:paraId="05B82D88" w14:textId="2098CA5E" w:rsidR="0075614A" w:rsidRDefault="0075614A" w:rsidP="00485717">
      <w:pPr>
        <w:pStyle w:val="FootnoteText"/>
        <w:jc w:val="both"/>
      </w:pPr>
      <w:r w:rsidRPr="002E3BAE">
        <w:rPr>
          <w:rStyle w:val="FootnoteReference"/>
          <w:rFonts w:ascii="Times New Roman" w:hAnsi="Times New Roman"/>
        </w:rPr>
        <w:footnoteRef/>
      </w:r>
      <w:r>
        <w:t xml:space="preserve"> </w:t>
      </w:r>
      <w:r w:rsidRPr="007075BC">
        <w:rPr>
          <w:rFonts w:ascii="Times New Roman" w:hAnsi="Times New Roman"/>
        </w:rPr>
        <w:t>Atalgojumu projekta administratīvajam personālam aprēķina saskaņā ar Ministru kabineta 2010. gada 27. jūlija noteikumiem Nr. 672</w:t>
      </w:r>
      <w:r w:rsidR="00485717">
        <w:rPr>
          <w:rFonts w:ascii="Times New Roman" w:hAnsi="Times New Roman"/>
        </w:rPr>
        <w:t xml:space="preserve"> </w:t>
      </w:r>
      <w:r w:rsidR="00485717" w:rsidRPr="00C22EB8">
        <w:rPr>
          <w:rFonts w:ascii="Times New Roman" w:hAnsi="Times New Roman"/>
        </w:rPr>
        <w:t>"Noteikumi par attīstības sadarbības projekta īstenošanā iesaistītās personas maksimālo atlīdzību, dienas naudu un viesnīcas (naktsmītnes) izdevumu apmēru"</w:t>
      </w:r>
      <w:r w:rsidR="00485717">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E24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pStyle w:val="NumPar2"/>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75965C1A"/>
    <w:multiLevelType w:val="multilevel"/>
    <w:tmpl w:val="224640A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EA"/>
    <w:rsid w:val="00045F2A"/>
    <w:rsid w:val="00047736"/>
    <w:rsid w:val="00066A96"/>
    <w:rsid w:val="000720B6"/>
    <w:rsid w:val="0007599C"/>
    <w:rsid w:val="0008174C"/>
    <w:rsid w:val="000943E1"/>
    <w:rsid w:val="000B2528"/>
    <w:rsid w:val="000D2BF9"/>
    <w:rsid w:val="000F038B"/>
    <w:rsid w:val="000F35E0"/>
    <w:rsid w:val="0010581C"/>
    <w:rsid w:val="00111311"/>
    <w:rsid w:val="00120AD7"/>
    <w:rsid w:val="00124B9B"/>
    <w:rsid w:val="00134914"/>
    <w:rsid w:val="001733F1"/>
    <w:rsid w:val="001C3910"/>
    <w:rsid w:val="001E5496"/>
    <w:rsid w:val="002347AE"/>
    <w:rsid w:val="0023720C"/>
    <w:rsid w:val="002525EA"/>
    <w:rsid w:val="00264708"/>
    <w:rsid w:val="002B56EC"/>
    <w:rsid w:val="002E3BAE"/>
    <w:rsid w:val="00301C72"/>
    <w:rsid w:val="00302145"/>
    <w:rsid w:val="003065DF"/>
    <w:rsid w:val="00312594"/>
    <w:rsid w:val="003220CA"/>
    <w:rsid w:val="003337B2"/>
    <w:rsid w:val="00334EA6"/>
    <w:rsid w:val="00346567"/>
    <w:rsid w:val="00357FB9"/>
    <w:rsid w:val="00385D6F"/>
    <w:rsid w:val="00391969"/>
    <w:rsid w:val="00392FD8"/>
    <w:rsid w:val="003A002E"/>
    <w:rsid w:val="003C3D8B"/>
    <w:rsid w:val="003D291E"/>
    <w:rsid w:val="00401F39"/>
    <w:rsid w:val="0043203D"/>
    <w:rsid w:val="004649F1"/>
    <w:rsid w:val="00481060"/>
    <w:rsid w:val="00485717"/>
    <w:rsid w:val="004D5B10"/>
    <w:rsid w:val="0050500B"/>
    <w:rsid w:val="00564F02"/>
    <w:rsid w:val="00581AD1"/>
    <w:rsid w:val="005953F0"/>
    <w:rsid w:val="005C4FBC"/>
    <w:rsid w:val="005D1044"/>
    <w:rsid w:val="005D1F19"/>
    <w:rsid w:val="005E202D"/>
    <w:rsid w:val="00610AE4"/>
    <w:rsid w:val="006640C9"/>
    <w:rsid w:val="006878F1"/>
    <w:rsid w:val="006948BB"/>
    <w:rsid w:val="006A37A8"/>
    <w:rsid w:val="006D79A2"/>
    <w:rsid w:val="007075BC"/>
    <w:rsid w:val="00733A85"/>
    <w:rsid w:val="00734516"/>
    <w:rsid w:val="007531D2"/>
    <w:rsid w:val="00753C23"/>
    <w:rsid w:val="0075614A"/>
    <w:rsid w:val="00765687"/>
    <w:rsid w:val="00782DA8"/>
    <w:rsid w:val="00797580"/>
    <w:rsid w:val="007B2F7E"/>
    <w:rsid w:val="007D0497"/>
    <w:rsid w:val="007D6EFF"/>
    <w:rsid w:val="008058F4"/>
    <w:rsid w:val="008061A7"/>
    <w:rsid w:val="00812D60"/>
    <w:rsid w:val="00831916"/>
    <w:rsid w:val="008366FD"/>
    <w:rsid w:val="00840F99"/>
    <w:rsid w:val="0085249D"/>
    <w:rsid w:val="00853C87"/>
    <w:rsid w:val="008B07F3"/>
    <w:rsid w:val="008C2ADD"/>
    <w:rsid w:val="008E0D3D"/>
    <w:rsid w:val="008E4AAE"/>
    <w:rsid w:val="009021CB"/>
    <w:rsid w:val="00916376"/>
    <w:rsid w:val="009240F4"/>
    <w:rsid w:val="00926C0A"/>
    <w:rsid w:val="00950073"/>
    <w:rsid w:val="00953DB0"/>
    <w:rsid w:val="009746A3"/>
    <w:rsid w:val="00981C93"/>
    <w:rsid w:val="009A0571"/>
    <w:rsid w:val="009C617E"/>
    <w:rsid w:val="009C7198"/>
    <w:rsid w:val="009D0077"/>
    <w:rsid w:val="009D1E03"/>
    <w:rsid w:val="009D447A"/>
    <w:rsid w:val="00A1619C"/>
    <w:rsid w:val="00A25141"/>
    <w:rsid w:val="00A33AFB"/>
    <w:rsid w:val="00A71E4B"/>
    <w:rsid w:val="00AA5A20"/>
    <w:rsid w:val="00AD00E3"/>
    <w:rsid w:val="00B34921"/>
    <w:rsid w:val="00B56D27"/>
    <w:rsid w:val="00B620A7"/>
    <w:rsid w:val="00B709C8"/>
    <w:rsid w:val="00B71E1C"/>
    <w:rsid w:val="00B73BE2"/>
    <w:rsid w:val="00BA48E6"/>
    <w:rsid w:val="00BD5140"/>
    <w:rsid w:val="00C00600"/>
    <w:rsid w:val="00C22EB8"/>
    <w:rsid w:val="00C31637"/>
    <w:rsid w:val="00C467E8"/>
    <w:rsid w:val="00C774F7"/>
    <w:rsid w:val="00C86F5D"/>
    <w:rsid w:val="00CB07BA"/>
    <w:rsid w:val="00CB1B61"/>
    <w:rsid w:val="00CD3D0C"/>
    <w:rsid w:val="00D13EAF"/>
    <w:rsid w:val="00D17F70"/>
    <w:rsid w:val="00D3143C"/>
    <w:rsid w:val="00D37133"/>
    <w:rsid w:val="00D37757"/>
    <w:rsid w:val="00D50989"/>
    <w:rsid w:val="00D532F4"/>
    <w:rsid w:val="00D65AB6"/>
    <w:rsid w:val="00D66195"/>
    <w:rsid w:val="00D66A72"/>
    <w:rsid w:val="00D73326"/>
    <w:rsid w:val="00D8444B"/>
    <w:rsid w:val="00D86412"/>
    <w:rsid w:val="00D95A8E"/>
    <w:rsid w:val="00DB7022"/>
    <w:rsid w:val="00E0230F"/>
    <w:rsid w:val="00E07377"/>
    <w:rsid w:val="00E158B8"/>
    <w:rsid w:val="00E65D78"/>
    <w:rsid w:val="00E72E2A"/>
    <w:rsid w:val="00EC0BCC"/>
    <w:rsid w:val="00ED35B6"/>
    <w:rsid w:val="00EE0783"/>
    <w:rsid w:val="00F1357C"/>
    <w:rsid w:val="00F16BEA"/>
    <w:rsid w:val="00F45ED0"/>
    <w:rsid w:val="00F4694F"/>
    <w:rsid w:val="00F652D1"/>
    <w:rsid w:val="00F82861"/>
    <w:rsid w:val="00F8299E"/>
    <w:rsid w:val="00F94F34"/>
    <w:rsid w:val="00FD6BF8"/>
    <w:rsid w:val="00FE3B05"/>
    <w:rsid w:val="00FF6A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24C7"/>
  <w15:chartTrackingRefBased/>
  <w15:docId w15:val="{BEFBA10A-E628-4DD9-B6B9-14D2E065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652D1"/>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F70"/>
    <w:rPr>
      <w:sz w:val="22"/>
      <w:szCs w:val="22"/>
      <w:lang w:eastAsia="en-US"/>
    </w:rPr>
  </w:style>
  <w:style w:type="paragraph" w:styleId="BalloonText">
    <w:name w:val="Balloon Text"/>
    <w:basedOn w:val="Normal"/>
    <w:link w:val="BalloonTextChar"/>
    <w:uiPriority w:val="99"/>
    <w:semiHidden/>
    <w:unhideWhenUsed/>
    <w:rsid w:val="00392F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FD8"/>
    <w:rPr>
      <w:rFonts w:ascii="Tahoma" w:hAnsi="Tahoma" w:cs="Tahoma"/>
      <w:sz w:val="16"/>
      <w:szCs w:val="16"/>
      <w:lang w:eastAsia="en-US"/>
    </w:rPr>
  </w:style>
  <w:style w:type="paragraph" w:styleId="Header">
    <w:name w:val="header"/>
    <w:basedOn w:val="Normal"/>
    <w:link w:val="HeaderChar"/>
    <w:uiPriority w:val="99"/>
    <w:unhideWhenUsed/>
    <w:rsid w:val="00392FD8"/>
    <w:pPr>
      <w:tabs>
        <w:tab w:val="center" w:pos="4153"/>
        <w:tab w:val="right" w:pos="8306"/>
      </w:tabs>
    </w:pPr>
  </w:style>
  <w:style w:type="character" w:customStyle="1" w:styleId="HeaderChar">
    <w:name w:val="Header Char"/>
    <w:link w:val="Header"/>
    <w:uiPriority w:val="99"/>
    <w:rsid w:val="00392FD8"/>
    <w:rPr>
      <w:sz w:val="22"/>
      <w:szCs w:val="22"/>
      <w:lang w:eastAsia="en-US"/>
    </w:rPr>
  </w:style>
  <w:style w:type="paragraph" w:styleId="Footer">
    <w:name w:val="footer"/>
    <w:basedOn w:val="Normal"/>
    <w:link w:val="FooterChar"/>
    <w:uiPriority w:val="99"/>
    <w:unhideWhenUsed/>
    <w:rsid w:val="00392FD8"/>
    <w:pPr>
      <w:tabs>
        <w:tab w:val="center" w:pos="4153"/>
        <w:tab w:val="right" w:pos="8306"/>
      </w:tabs>
    </w:pPr>
  </w:style>
  <w:style w:type="character" w:customStyle="1" w:styleId="FooterChar">
    <w:name w:val="Footer Char"/>
    <w:link w:val="Footer"/>
    <w:uiPriority w:val="99"/>
    <w:rsid w:val="00392FD8"/>
    <w:rPr>
      <w:sz w:val="22"/>
      <w:szCs w:val="22"/>
      <w:lang w:eastAsia="en-US"/>
    </w:rPr>
  </w:style>
  <w:style w:type="character" w:styleId="CommentReference">
    <w:name w:val="annotation reference"/>
    <w:uiPriority w:val="99"/>
    <w:semiHidden/>
    <w:unhideWhenUsed/>
    <w:rsid w:val="00D65AB6"/>
    <w:rPr>
      <w:sz w:val="16"/>
      <w:szCs w:val="16"/>
    </w:rPr>
  </w:style>
  <w:style w:type="paragraph" w:styleId="CommentText">
    <w:name w:val="annotation text"/>
    <w:basedOn w:val="Normal"/>
    <w:link w:val="CommentTextChar"/>
    <w:uiPriority w:val="99"/>
    <w:semiHidden/>
    <w:unhideWhenUsed/>
    <w:rsid w:val="00D65AB6"/>
    <w:rPr>
      <w:sz w:val="20"/>
      <w:szCs w:val="20"/>
    </w:rPr>
  </w:style>
  <w:style w:type="character" w:customStyle="1" w:styleId="CommentTextChar">
    <w:name w:val="Comment Text Char"/>
    <w:link w:val="CommentText"/>
    <w:uiPriority w:val="99"/>
    <w:semiHidden/>
    <w:rsid w:val="00D65AB6"/>
    <w:rPr>
      <w:lang w:eastAsia="en-US"/>
    </w:rPr>
  </w:style>
  <w:style w:type="paragraph" w:styleId="CommentSubject">
    <w:name w:val="annotation subject"/>
    <w:basedOn w:val="CommentText"/>
    <w:next w:val="CommentText"/>
    <w:link w:val="CommentSubjectChar"/>
    <w:uiPriority w:val="99"/>
    <w:semiHidden/>
    <w:unhideWhenUsed/>
    <w:rsid w:val="00D65AB6"/>
    <w:rPr>
      <w:b/>
      <w:bCs/>
    </w:rPr>
  </w:style>
  <w:style w:type="character" w:customStyle="1" w:styleId="CommentSubjectChar">
    <w:name w:val="Comment Subject Char"/>
    <w:link w:val="CommentSubject"/>
    <w:uiPriority w:val="99"/>
    <w:semiHidden/>
    <w:rsid w:val="00D65AB6"/>
    <w:rPr>
      <w:b/>
      <w:bCs/>
      <w:lang w:eastAsia="en-US"/>
    </w:rPr>
  </w:style>
  <w:style w:type="paragraph" w:customStyle="1" w:styleId="Default">
    <w:name w:val="Default"/>
    <w:rsid w:val="00610AE4"/>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uiPriority w:val="99"/>
    <w:semiHidden/>
    <w:unhideWhenUsed/>
    <w:rsid w:val="00797580"/>
    <w:rPr>
      <w:sz w:val="20"/>
      <w:szCs w:val="20"/>
    </w:rPr>
  </w:style>
  <w:style w:type="character" w:customStyle="1" w:styleId="FootnoteTextChar">
    <w:name w:val="Footnote Text Char"/>
    <w:link w:val="FootnoteText"/>
    <w:uiPriority w:val="99"/>
    <w:semiHidden/>
    <w:rsid w:val="00797580"/>
    <w:rPr>
      <w:lang w:eastAsia="en-US"/>
    </w:rPr>
  </w:style>
  <w:style w:type="character" w:styleId="FootnoteReference">
    <w:name w:val="footnote reference"/>
    <w:uiPriority w:val="99"/>
    <w:semiHidden/>
    <w:unhideWhenUsed/>
    <w:rsid w:val="00797580"/>
    <w:rPr>
      <w:vertAlign w:val="superscript"/>
    </w:rPr>
  </w:style>
  <w:style w:type="paragraph" w:styleId="BodyText">
    <w:name w:val="Body Text"/>
    <w:basedOn w:val="Normal"/>
    <w:link w:val="BodyTextChar"/>
    <w:rsid w:val="00F6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snapToGrid w:val="0"/>
      <w:sz w:val="24"/>
      <w:szCs w:val="20"/>
      <w:lang w:val="en-US"/>
    </w:rPr>
  </w:style>
  <w:style w:type="character" w:customStyle="1" w:styleId="BodyTextChar">
    <w:name w:val="Body Text Char"/>
    <w:link w:val="BodyText"/>
    <w:rsid w:val="00F652D1"/>
    <w:rPr>
      <w:rFonts w:ascii="Times New Roman" w:eastAsia="Times New Roman" w:hAnsi="Times New Roman"/>
      <w:snapToGrid w:val="0"/>
      <w:sz w:val="24"/>
      <w:lang w:val="en-US" w:eastAsia="en-US"/>
    </w:rPr>
  </w:style>
  <w:style w:type="paragraph" w:customStyle="1" w:styleId="Text2">
    <w:name w:val="Text 2"/>
    <w:basedOn w:val="Normal"/>
    <w:rsid w:val="00F652D1"/>
    <w:pPr>
      <w:tabs>
        <w:tab w:val="left" w:pos="2161"/>
      </w:tabs>
      <w:spacing w:after="240" w:line="240" w:lineRule="auto"/>
      <w:ind w:left="1202"/>
      <w:jc w:val="both"/>
    </w:pPr>
    <w:rPr>
      <w:rFonts w:ascii="Times New Roman" w:eastAsia="Times New Roman" w:hAnsi="Times New Roman"/>
      <w:snapToGrid w:val="0"/>
      <w:sz w:val="24"/>
      <w:szCs w:val="20"/>
      <w:lang w:val="en-GB"/>
    </w:rPr>
  </w:style>
  <w:style w:type="paragraph" w:customStyle="1" w:styleId="NumPar2">
    <w:name w:val="NumPar 2"/>
    <w:basedOn w:val="Heading2"/>
    <w:next w:val="Text2"/>
    <w:rsid w:val="00F652D1"/>
    <w:pPr>
      <w:keepNext w:val="0"/>
      <w:numPr>
        <w:ilvl w:val="1"/>
        <w:numId w:val="1"/>
      </w:numPr>
      <w:tabs>
        <w:tab w:val="num" w:pos="360"/>
      </w:tabs>
      <w:spacing w:before="0" w:after="240" w:line="240" w:lineRule="auto"/>
      <w:ind w:left="360" w:hanging="283"/>
      <w:jc w:val="both"/>
      <w:outlineLvl w:val="9"/>
    </w:pPr>
    <w:rPr>
      <w:rFonts w:ascii="Times New Roman" w:hAnsi="Times New Roman"/>
      <w:b w:val="0"/>
      <w:bCs w:val="0"/>
      <w:i w:val="0"/>
      <w:iCs w:val="0"/>
      <w:snapToGrid w:val="0"/>
      <w:sz w:val="24"/>
      <w:szCs w:val="20"/>
      <w:lang w:val="fr-FR"/>
    </w:rPr>
  </w:style>
  <w:style w:type="character" w:customStyle="1" w:styleId="Heading2Char">
    <w:name w:val="Heading 2 Char"/>
    <w:link w:val="Heading2"/>
    <w:uiPriority w:val="9"/>
    <w:semiHidden/>
    <w:rsid w:val="00F652D1"/>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401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133583">
      <w:bodyDiv w:val="1"/>
      <w:marLeft w:val="0"/>
      <w:marRight w:val="0"/>
      <w:marTop w:val="0"/>
      <w:marBottom w:val="0"/>
      <w:divBdr>
        <w:top w:val="none" w:sz="0" w:space="0" w:color="auto"/>
        <w:left w:val="none" w:sz="0" w:space="0" w:color="auto"/>
        <w:bottom w:val="none" w:sz="0" w:space="0" w:color="auto"/>
        <w:right w:val="none" w:sz="0" w:space="0" w:color="auto"/>
      </w:divBdr>
      <w:divsChild>
        <w:div w:id="1668746350">
          <w:marLeft w:val="0"/>
          <w:marRight w:val="0"/>
          <w:marTop w:val="0"/>
          <w:marBottom w:val="0"/>
          <w:divBdr>
            <w:top w:val="none" w:sz="0" w:space="0" w:color="auto"/>
            <w:left w:val="none" w:sz="0" w:space="0" w:color="auto"/>
            <w:bottom w:val="none" w:sz="0" w:space="0" w:color="auto"/>
            <w:right w:val="none" w:sz="0" w:space="0" w:color="auto"/>
          </w:divBdr>
          <w:divsChild>
            <w:div w:id="1479833781">
              <w:marLeft w:val="0"/>
              <w:marRight w:val="0"/>
              <w:marTop w:val="0"/>
              <w:marBottom w:val="0"/>
              <w:divBdr>
                <w:top w:val="none" w:sz="0" w:space="0" w:color="auto"/>
                <w:left w:val="none" w:sz="0" w:space="0" w:color="auto"/>
                <w:bottom w:val="none" w:sz="0" w:space="0" w:color="auto"/>
                <w:right w:val="none" w:sz="0" w:space="0" w:color="auto"/>
              </w:divBdr>
              <w:divsChild>
                <w:div w:id="1466436231">
                  <w:marLeft w:val="0"/>
                  <w:marRight w:val="0"/>
                  <w:marTop w:val="0"/>
                  <w:marBottom w:val="0"/>
                  <w:divBdr>
                    <w:top w:val="none" w:sz="0" w:space="0" w:color="auto"/>
                    <w:left w:val="none" w:sz="0" w:space="0" w:color="auto"/>
                    <w:bottom w:val="none" w:sz="0" w:space="0" w:color="auto"/>
                    <w:right w:val="none" w:sz="0" w:space="0" w:color="auto"/>
                  </w:divBdr>
                  <w:divsChild>
                    <w:div w:id="877742658">
                      <w:marLeft w:val="0"/>
                      <w:marRight w:val="0"/>
                      <w:marTop w:val="0"/>
                      <w:marBottom w:val="0"/>
                      <w:divBdr>
                        <w:top w:val="none" w:sz="0" w:space="0" w:color="auto"/>
                        <w:left w:val="none" w:sz="0" w:space="0" w:color="auto"/>
                        <w:bottom w:val="none" w:sz="0" w:space="0" w:color="auto"/>
                        <w:right w:val="none" w:sz="0" w:space="0" w:color="auto"/>
                      </w:divBdr>
                      <w:divsChild>
                        <w:div w:id="1606041020">
                          <w:marLeft w:val="0"/>
                          <w:marRight w:val="0"/>
                          <w:marTop w:val="0"/>
                          <w:marBottom w:val="0"/>
                          <w:divBdr>
                            <w:top w:val="none" w:sz="0" w:space="0" w:color="auto"/>
                            <w:left w:val="none" w:sz="0" w:space="0" w:color="auto"/>
                            <w:bottom w:val="none" w:sz="0" w:space="0" w:color="auto"/>
                            <w:right w:val="none" w:sz="0" w:space="0" w:color="auto"/>
                          </w:divBdr>
                          <w:divsChild>
                            <w:div w:id="1467157718">
                              <w:marLeft w:val="150"/>
                              <w:marRight w:val="150"/>
                              <w:marTop w:val="480"/>
                              <w:marBottom w:val="0"/>
                              <w:divBdr>
                                <w:top w:val="single" w:sz="6" w:space="28" w:color="D4D4D4"/>
                                <w:left w:val="none" w:sz="0" w:space="0" w:color="auto"/>
                                <w:bottom w:val="none" w:sz="0" w:space="0" w:color="auto"/>
                                <w:right w:val="none" w:sz="0" w:space="0" w:color="auto"/>
                              </w:divBdr>
                            </w:div>
                            <w:div w:id="1644194759">
                              <w:marLeft w:val="0"/>
                              <w:marRight w:val="0"/>
                              <w:marTop w:val="240"/>
                              <w:marBottom w:val="0"/>
                              <w:divBdr>
                                <w:top w:val="none" w:sz="0" w:space="0" w:color="auto"/>
                                <w:left w:val="none" w:sz="0" w:space="0" w:color="auto"/>
                                <w:bottom w:val="none" w:sz="0" w:space="0" w:color="auto"/>
                                <w:right w:val="none" w:sz="0" w:space="0" w:color="auto"/>
                              </w:divBdr>
                            </w:div>
                            <w:div w:id="214703944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9028">
      <w:bodyDiv w:val="1"/>
      <w:marLeft w:val="0"/>
      <w:marRight w:val="0"/>
      <w:marTop w:val="0"/>
      <w:marBottom w:val="0"/>
      <w:divBdr>
        <w:top w:val="none" w:sz="0" w:space="0" w:color="auto"/>
        <w:left w:val="none" w:sz="0" w:space="0" w:color="auto"/>
        <w:bottom w:val="none" w:sz="0" w:space="0" w:color="auto"/>
        <w:right w:val="none" w:sz="0" w:space="0" w:color="auto"/>
      </w:divBdr>
      <w:divsChild>
        <w:div w:id="2070377709">
          <w:marLeft w:val="0"/>
          <w:marRight w:val="0"/>
          <w:marTop w:val="0"/>
          <w:marBottom w:val="0"/>
          <w:divBdr>
            <w:top w:val="none" w:sz="0" w:space="0" w:color="auto"/>
            <w:left w:val="none" w:sz="0" w:space="0" w:color="auto"/>
            <w:bottom w:val="none" w:sz="0" w:space="0" w:color="auto"/>
            <w:right w:val="none" w:sz="0" w:space="0" w:color="auto"/>
          </w:divBdr>
          <w:divsChild>
            <w:div w:id="59332971">
              <w:marLeft w:val="0"/>
              <w:marRight w:val="0"/>
              <w:marTop w:val="0"/>
              <w:marBottom w:val="0"/>
              <w:divBdr>
                <w:top w:val="none" w:sz="0" w:space="0" w:color="auto"/>
                <w:left w:val="none" w:sz="0" w:space="0" w:color="auto"/>
                <w:bottom w:val="none" w:sz="0" w:space="0" w:color="auto"/>
                <w:right w:val="none" w:sz="0" w:space="0" w:color="auto"/>
              </w:divBdr>
              <w:divsChild>
                <w:div w:id="1226793067">
                  <w:marLeft w:val="0"/>
                  <w:marRight w:val="0"/>
                  <w:marTop w:val="0"/>
                  <w:marBottom w:val="0"/>
                  <w:divBdr>
                    <w:top w:val="none" w:sz="0" w:space="0" w:color="auto"/>
                    <w:left w:val="none" w:sz="0" w:space="0" w:color="auto"/>
                    <w:bottom w:val="none" w:sz="0" w:space="0" w:color="auto"/>
                    <w:right w:val="none" w:sz="0" w:space="0" w:color="auto"/>
                  </w:divBdr>
                  <w:divsChild>
                    <w:div w:id="1671103997">
                      <w:marLeft w:val="0"/>
                      <w:marRight w:val="0"/>
                      <w:marTop w:val="0"/>
                      <w:marBottom w:val="0"/>
                      <w:divBdr>
                        <w:top w:val="none" w:sz="0" w:space="0" w:color="auto"/>
                        <w:left w:val="none" w:sz="0" w:space="0" w:color="auto"/>
                        <w:bottom w:val="none" w:sz="0" w:space="0" w:color="auto"/>
                        <w:right w:val="none" w:sz="0" w:space="0" w:color="auto"/>
                      </w:divBdr>
                      <w:divsChild>
                        <w:div w:id="40594494">
                          <w:marLeft w:val="0"/>
                          <w:marRight w:val="0"/>
                          <w:marTop w:val="0"/>
                          <w:marBottom w:val="0"/>
                          <w:divBdr>
                            <w:top w:val="none" w:sz="0" w:space="0" w:color="auto"/>
                            <w:left w:val="none" w:sz="0" w:space="0" w:color="auto"/>
                            <w:bottom w:val="none" w:sz="0" w:space="0" w:color="auto"/>
                            <w:right w:val="none" w:sz="0" w:space="0" w:color="auto"/>
                          </w:divBdr>
                          <w:divsChild>
                            <w:div w:id="628128543">
                              <w:marLeft w:val="0"/>
                              <w:marRight w:val="0"/>
                              <w:marTop w:val="240"/>
                              <w:marBottom w:val="0"/>
                              <w:divBdr>
                                <w:top w:val="none" w:sz="0" w:space="0" w:color="auto"/>
                                <w:left w:val="none" w:sz="0" w:space="0" w:color="auto"/>
                                <w:bottom w:val="none" w:sz="0" w:space="0" w:color="auto"/>
                                <w:right w:val="none" w:sz="0" w:space="0" w:color="auto"/>
                              </w:divBdr>
                            </w:div>
                            <w:div w:id="1335453611">
                              <w:marLeft w:val="0"/>
                              <w:marRight w:val="0"/>
                              <w:marTop w:val="400"/>
                              <w:marBottom w:val="0"/>
                              <w:divBdr>
                                <w:top w:val="none" w:sz="0" w:space="0" w:color="auto"/>
                                <w:left w:val="none" w:sz="0" w:space="0" w:color="auto"/>
                                <w:bottom w:val="none" w:sz="0" w:space="0" w:color="auto"/>
                                <w:right w:val="none" w:sz="0" w:space="0" w:color="auto"/>
                              </w:divBdr>
                            </w:div>
                            <w:div w:id="1434934651">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3621</Value>
      <Value>3624</Value>
    </TaxCatchAll>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Daudzpusējās attīstības sadarbības nodaļa</TermName>
          <TermId xmlns="http://schemas.microsoft.com/office/infopath/2007/PartnerControls">9d506f6b-1881-4094-ad8c-36baba2e9ef1</TermId>
        </TermInfo>
      </Terms>
    </aee6b300c46d41ecb957189889b62b92>
    <amRegistresanasDatums xmlns="801ff49e-5150-41f0-9cd7-015d16134d38">2025-10-14T12:01:58Z</amRegistresanasDatums>
    <amLietasNumurs xmlns="801ff49e-5150-41f0-9cd7-015d16134d38" xsi:nil="true"/>
    <amSagatavotajs xmlns="801ff49e-5150-41f0-9cd7-015d16134d38">
      <UserInfo>
        <DisplayName/>
        <AccountId>1505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LV-361</amNumurs>
    <amPiekluvesLimenaPamatojums xmlns="801ff49e-5150-41f0-9cd7-015d16134d38" xsi:nil="true"/>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2025-10-10T08:18:36+00:00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1. Nolikums (18 lpp.)
1.1. Attiecināmās izmaksas (2 lpp.)
1.2. Projekta iesnieguma veidlapa (3 lpp.)
1.3. Projekta budžeta tāmes paraugs (3 lpp.)
1.4. Projekta iesniedzēja apliecinājums (2 lpp.)
1.5. Izvērtēšanas kritēriji (1 lpp.)
1.6. Granta līguma paraugs (8 lpp.)
1.6.1. Projekta iesnieguma veidlapa (3 lpp.)
1.6.2. Projekta budžeta tāmes paraugs (3 lpp.)
1.6.3. Pārskats par projekta īstenošanu (4 lpp.)
1.6.4. Finanšu pārskats (3 lpp.)</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Brīvā forma" ma:contentTypeID="0x010100B1C2858224DA4374904E017A8E9DA548002393F314AAC4764D926562286DDBEDAA" ma:contentTypeVersion="447" ma:contentTypeDescription="Izveidot jaunu dokumentu." ma:contentTypeScope="" ma:versionID="d70fa9540945d7c735aeb56633980b93">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3722E-83B7-4AB1-95B0-FD34A9640E08}">
  <ds:schemaRefs>
    <ds:schemaRef ds:uri="http://schemas.microsoft.com/sharepoint/events"/>
  </ds:schemaRefs>
</ds:datastoreItem>
</file>

<file path=customXml/itemProps2.xml><?xml version="1.0" encoding="utf-8"?>
<ds:datastoreItem xmlns:ds="http://schemas.openxmlformats.org/officeDocument/2006/customXml" ds:itemID="{011AB819-2DE0-425C-A4CD-989E28DAE35D}">
  <ds:schemaRefs>
    <ds:schemaRef ds:uri="Microsoft.SharePoint.Taxonomy.ContentTypeSync"/>
  </ds:schemaRefs>
</ds:datastoreItem>
</file>

<file path=customXml/itemProps3.xml><?xml version="1.0" encoding="utf-8"?>
<ds:datastoreItem xmlns:ds="http://schemas.openxmlformats.org/officeDocument/2006/customXml" ds:itemID="{D239C902-1989-4AC3-AFA4-68E65A7E0D27}">
  <ds:schemaRefs>
    <ds:schemaRef ds:uri="http://schemas.microsoft.com/sharepoint/v3/contenttype/forms"/>
  </ds:schemaRefs>
</ds:datastoreItem>
</file>

<file path=customXml/itemProps4.xml><?xml version="1.0" encoding="utf-8"?>
<ds:datastoreItem xmlns:ds="http://schemas.openxmlformats.org/officeDocument/2006/customXml" ds:itemID="{089719A3-0AF8-4E4A-9A88-3B37B72BCB2B}">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44b633c7-381e-49fe-b421-7d5c56b31c76"/>
  </ds:schemaRefs>
</ds:datastoreItem>
</file>

<file path=customXml/itemProps5.xml><?xml version="1.0" encoding="utf-8"?>
<ds:datastoreItem xmlns:ds="http://schemas.openxmlformats.org/officeDocument/2006/customXml" ds:itemID="{74CD9865-1C22-4119-BBC4-51E7F58950B9}">
  <ds:schemaRefs>
    <ds:schemaRef ds:uri="http://schemas.openxmlformats.org/officeDocument/2006/bibliography"/>
  </ds:schemaRefs>
</ds:datastoreItem>
</file>

<file path=customXml/itemProps6.xml><?xml version="1.0" encoding="utf-8"?>
<ds:datastoreItem xmlns:ds="http://schemas.openxmlformats.org/officeDocument/2006/customXml" ds:itemID="{53238025-E352-41C1-BD59-25119CD26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1462</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Links>
    <vt:vector size="6" baseType="variant">
      <vt:variant>
        <vt:i4>4456539</vt:i4>
      </vt:variant>
      <vt:variant>
        <vt:i4>0</vt:i4>
      </vt:variant>
      <vt:variant>
        <vt:i4>0</vt:i4>
      </vt:variant>
      <vt:variant>
        <vt:i4>5</vt:i4>
      </vt:variant>
      <vt:variant>
        <vt:lpwstr>https://likumi.lv/ta/id/214192-noteikumi-par-attistibas-sadarbibas-projekta-istenosana-iesaistitas-personas-maksimalo-atlidzibu-dienas-naudu-un-viesnicas-nakt...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 Rubene</dc:creator>
  <cp:keywords/>
  <cp:lastModifiedBy>Kristine Purina</cp:lastModifiedBy>
  <cp:revision>21</cp:revision>
  <cp:lastPrinted>2025-10-02T07:15:00Z</cp:lastPrinted>
  <dcterms:created xsi:type="dcterms:W3CDTF">2023-07-21T10:15:00Z</dcterms:created>
  <dcterms:modified xsi:type="dcterms:W3CDTF">2025-10-15T11:56:00Z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0x010100B1C2858224DA4374904E017A8E9DA548002393F314AAC4764D926562286DDBEDAA</vt:lpwstr>
  </property>
  <property fmtid="{D5CDD505-2E9C-101B-9397-08002B2CF9AE}" pid="3" name="amStrukturvieniba">
    <vt:lpwstr>3624;#Daudzpusējās attīstības sadarbības nodaļa|9d506f6b-1881-4094-ad8c-36baba2e9ef1</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amKlasifikators3">
    <vt:lpwstr/>
  </property>
  <property fmtid="{D5CDD505-2E9C-101B-9397-08002B2CF9AE}" pid="9" name="h71ae947574d4b79a5c438e93525dbed">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_docset_NoMedatataSyncRequired">
    <vt:lpwstr>False</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3621;#Attīstības sadarbības politikas departaments|e15e949c-43d8-41ee-819c-4cf60ea51fec</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